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5DF" w:rsidRDefault="00DA75DF" w:rsidP="00DA75DF">
      <w:pPr>
        <w:pStyle w:val="ReqText"/>
        <w:rPr>
          <w:b w:val="0"/>
          <w:i w:val="0"/>
          <w:vanish w:val="0"/>
        </w:rPr>
      </w:pPr>
      <w:r>
        <w:rPr>
          <w:b w:val="0"/>
          <w:i w:val="0"/>
          <w:vanish w:val="0"/>
        </w:rPr>
        <w:t>Computing Runoff Coefficients</w:t>
      </w:r>
    </w:p>
    <w:p w:rsidR="00DA75DF" w:rsidRDefault="00DA75DF" w:rsidP="00DA75DF">
      <w:pPr>
        <w:pStyle w:val="ReqText"/>
        <w:rPr>
          <w:b w:val="0"/>
          <w:i w:val="0"/>
        </w:rPr>
      </w:pPr>
    </w:p>
    <w:p w:rsidR="00DA75DF" w:rsidRDefault="00DA75DF" w:rsidP="00DA75DF"/>
    <w:tbl>
      <w:tblPr>
        <w:tblW w:w="0" w:type="auto"/>
        <w:jc w:val="center"/>
        <w:tblLayout w:type="fixed"/>
        <w:tblLook w:val="04A0"/>
      </w:tblPr>
      <w:tblGrid>
        <w:gridCol w:w="5817"/>
        <w:gridCol w:w="540"/>
        <w:gridCol w:w="1710"/>
        <w:gridCol w:w="270"/>
        <w:gridCol w:w="776"/>
      </w:tblGrid>
      <w:tr w:rsidR="00DA75DF" w:rsidTr="00DB0927">
        <w:trPr>
          <w:cantSplit/>
          <w:jc w:val="center"/>
        </w:trPr>
        <w:tc>
          <w:tcPr>
            <w:tcW w:w="5817" w:type="dxa"/>
            <w:vAlign w:val="bottom"/>
            <w:hideMark/>
          </w:tcPr>
          <w:p w:rsidR="00DA75DF" w:rsidRDefault="00DA75DF" w:rsidP="00DB0927">
            <w:pPr>
              <w:jc w:val="right"/>
            </w:pPr>
            <w:r>
              <w:t>Total Site Area</w:t>
            </w:r>
          </w:p>
        </w:tc>
        <w:tc>
          <w:tcPr>
            <w:tcW w:w="54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(A)</w:t>
            </w:r>
          </w:p>
        </w:tc>
      </w:tr>
    </w:tbl>
    <w:p w:rsidR="00DA75DF" w:rsidRDefault="00DA75DF" w:rsidP="00DA75DF"/>
    <w:p w:rsidR="00DA75DF" w:rsidRDefault="00DA75DF" w:rsidP="00DA75DF">
      <w:pPr>
        <w:pStyle w:val="Heading2"/>
      </w:pPr>
      <w:bookmarkStart w:id="0" w:name="_GoBack"/>
    </w:p>
    <w:bookmarkEnd w:id="0"/>
    <w:p w:rsidR="00DA75DF" w:rsidRDefault="00DA75DF" w:rsidP="00DA75DF"/>
    <w:p w:rsidR="00DA75DF" w:rsidRDefault="00DA75DF" w:rsidP="00DA75DF">
      <w:pPr>
        <w:pStyle w:val="SectionHead2"/>
      </w:pPr>
      <w:r>
        <w:t>Existing Site Conditions</w:t>
      </w:r>
    </w:p>
    <w:tbl>
      <w:tblPr>
        <w:tblW w:w="0" w:type="auto"/>
        <w:jc w:val="center"/>
        <w:tblLayout w:type="fixed"/>
        <w:tblLook w:val="04A0"/>
      </w:tblPr>
      <w:tblGrid>
        <w:gridCol w:w="4017"/>
        <w:gridCol w:w="1800"/>
        <w:gridCol w:w="540"/>
        <w:gridCol w:w="1710"/>
        <w:gridCol w:w="270"/>
        <w:gridCol w:w="776"/>
      </w:tblGrid>
      <w:tr w:rsidR="00DA75DF" w:rsidTr="00DB0927">
        <w:trPr>
          <w:cantSplit/>
          <w:jc w:val="center"/>
        </w:trPr>
        <w:tc>
          <w:tcPr>
            <w:tcW w:w="5817" w:type="dxa"/>
            <w:gridSpan w:val="2"/>
            <w:vAlign w:val="bottom"/>
            <w:hideMark/>
          </w:tcPr>
          <w:p w:rsidR="00DA75DF" w:rsidRDefault="00DA75DF" w:rsidP="00DB0927">
            <w:pPr>
              <w:ind w:right="162"/>
              <w:jc w:val="right"/>
            </w:pPr>
            <w:r>
              <w:t>Impervious Site Area</w:t>
            </w:r>
            <w:r>
              <w:rPr>
                <w:vertAlign w:val="superscript"/>
              </w:rPr>
              <w:t>1</w:t>
            </w:r>
          </w:p>
        </w:tc>
        <w:tc>
          <w:tcPr>
            <w:tcW w:w="54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(B)</w:t>
            </w:r>
          </w:p>
        </w:tc>
      </w:tr>
      <w:tr w:rsidR="00DA75DF" w:rsidTr="00DB0927">
        <w:trPr>
          <w:cantSplit/>
          <w:jc w:val="center"/>
        </w:trPr>
        <w:tc>
          <w:tcPr>
            <w:tcW w:w="5817" w:type="dxa"/>
            <w:gridSpan w:val="2"/>
            <w:vAlign w:val="bottom"/>
          </w:tcPr>
          <w:p w:rsidR="00DA75DF" w:rsidRDefault="00DA75DF" w:rsidP="00DB0927">
            <w:pPr>
              <w:ind w:right="162"/>
              <w:jc w:val="right"/>
            </w:pPr>
          </w:p>
        </w:tc>
        <w:tc>
          <w:tcPr>
            <w:tcW w:w="54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1710" w:type="dxa"/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bottom"/>
          </w:tcPr>
          <w:p w:rsidR="00DA75DF" w:rsidRDefault="00DA75DF" w:rsidP="00DB0927">
            <w:pPr>
              <w:jc w:val="center"/>
            </w:pPr>
          </w:p>
        </w:tc>
      </w:tr>
      <w:tr w:rsidR="00DA75DF" w:rsidTr="00DB0927">
        <w:trPr>
          <w:cantSplit/>
          <w:jc w:val="center"/>
        </w:trPr>
        <w:tc>
          <w:tcPr>
            <w:tcW w:w="5817" w:type="dxa"/>
            <w:gridSpan w:val="2"/>
            <w:vAlign w:val="bottom"/>
            <w:hideMark/>
          </w:tcPr>
          <w:p w:rsidR="00DA75DF" w:rsidRDefault="00DA75DF" w:rsidP="00DB0927">
            <w:pPr>
              <w:ind w:right="162"/>
              <w:jc w:val="right"/>
            </w:pPr>
            <w:r>
              <w:t xml:space="preserve">Impervious Site Area Runoff Coefficient </w:t>
            </w:r>
            <w:r>
              <w:rPr>
                <w:vertAlign w:val="superscript"/>
              </w:rPr>
              <w:t>2, 4</w:t>
            </w:r>
          </w:p>
        </w:tc>
        <w:tc>
          <w:tcPr>
            <w:tcW w:w="54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(C)</w:t>
            </w:r>
          </w:p>
        </w:tc>
      </w:tr>
      <w:tr w:rsidR="00DA75DF" w:rsidTr="00DB0927">
        <w:trPr>
          <w:cantSplit/>
          <w:jc w:val="center"/>
        </w:trPr>
        <w:tc>
          <w:tcPr>
            <w:tcW w:w="5817" w:type="dxa"/>
            <w:gridSpan w:val="2"/>
            <w:vAlign w:val="bottom"/>
          </w:tcPr>
          <w:p w:rsidR="00DA75DF" w:rsidRDefault="00DA75DF" w:rsidP="00DB0927">
            <w:pPr>
              <w:ind w:right="162"/>
              <w:jc w:val="right"/>
            </w:pPr>
          </w:p>
        </w:tc>
        <w:tc>
          <w:tcPr>
            <w:tcW w:w="54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1710" w:type="dxa"/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bottom"/>
          </w:tcPr>
          <w:p w:rsidR="00DA75DF" w:rsidRDefault="00DA75DF" w:rsidP="00DB0927">
            <w:pPr>
              <w:jc w:val="center"/>
            </w:pPr>
          </w:p>
        </w:tc>
      </w:tr>
      <w:tr w:rsidR="00DA75DF" w:rsidTr="00DB0927">
        <w:trPr>
          <w:cantSplit/>
          <w:jc w:val="center"/>
        </w:trPr>
        <w:tc>
          <w:tcPr>
            <w:tcW w:w="5817" w:type="dxa"/>
            <w:gridSpan w:val="2"/>
            <w:vAlign w:val="bottom"/>
            <w:hideMark/>
          </w:tcPr>
          <w:p w:rsidR="00DA75DF" w:rsidRDefault="00DA75DF" w:rsidP="00DB0927">
            <w:pPr>
              <w:ind w:right="162"/>
              <w:jc w:val="right"/>
            </w:pPr>
            <w:r>
              <w:t>Pervious Site Area</w:t>
            </w:r>
            <w:r>
              <w:rPr>
                <w:vertAlign w:val="superscript"/>
              </w:rPr>
              <w:t>3</w:t>
            </w:r>
          </w:p>
        </w:tc>
        <w:tc>
          <w:tcPr>
            <w:tcW w:w="54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(D)</w:t>
            </w:r>
          </w:p>
        </w:tc>
      </w:tr>
      <w:tr w:rsidR="00DA75DF" w:rsidTr="00DB0927">
        <w:trPr>
          <w:cantSplit/>
          <w:jc w:val="center"/>
        </w:trPr>
        <w:tc>
          <w:tcPr>
            <w:tcW w:w="5817" w:type="dxa"/>
            <w:gridSpan w:val="2"/>
            <w:vAlign w:val="bottom"/>
          </w:tcPr>
          <w:p w:rsidR="00DA75DF" w:rsidRDefault="00DA75DF" w:rsidP="00DB0927">
            <w:pPr>
              <w:ind w:right="162"/>
              <w:jc w:val="right"/>
            </w:pPr>
          </w:p>
        </w:tc>
        <w:tc>
          <w:tcPr>
            <w:tcW w:w="54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1710" w:type="dxa"/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bottom"/>
          </w:tcPr>
          <w:p w:rsidR="00DA75DF" w:rsidRDefault="00DA75DF" w:rsidP="00DB0927">
            <w:pPr>
              <w:jc w:val="center"/>
            </w:pPr>
          </w:p>
        </w:tc>
      </w:tr>
      <w:tr w:rsidR="00DA75DF" w:rsidTr="00DB0927">
        <w:trPr>
          <w:cantSplit/>
          <w:jc w:val="center"/>
        </w:trPr>
        <w:tc>
          <w:tcPr>
            <w:tcW w:w="5817" w:type="dxa"/>
            <w:gridSpan w:val="2"/>
            <w:vAlign w:val="bottom"/>
            <w:hideMark/>
          </w:tcPr>
          <w:p w:rsidR="00DA75DF" w:rsidRDefault="00DA75DF" w:rsidP="00DB0927">
            <w:pPr>
              <w:ind w:right="162"/>
              <w:jc w:val="right"/>
            </w:pPr>
            <w:r>
              <w:t>Pervious Site Area Runoff Coefficient</w:t>
            </w:r>
            <w:r>
              <w:rPr>
                <w:vertAlign w:val="superscript"/>
              </w:rPr>
              <w:t>4</w:t>
            </w:r>
          </w:p>
        </w:tc>
        <w:tc>
          <w:tcPr>
            <w:tcW w:w="54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(E)</w:t>
            </w:r>
          </w:p>
        </w:tc>
      </w:tr>
      <w:tr w:rsidR="00DA75DF" w:rsidTr="00DB0927">
        <w:trPr>
          <w:cantSplit/>
          <w:jc w:val="center"/>
        </w:trPr>
        <w:tc>
          <w:tcPr>
            <w:tcW w:w="5817" w:type="dxa"/>
            <w:gridSpan w:val="2"/>
            <w:vAlign w:val="bottom"/>
          </w:tcPr>
          <w:p w:rsidR="00DA75DF" w:rsidRDefault="00DA75DF" w:rsidP="00DB0927">
            <w:pPr>
              <w:ind w:right="162"/>
              <w:jc w:val="right"/>
            </w:pPr>
          </w:p>
        </w:tc>
        <w:tc>
          <w:tcPr>
            <w:tcW w:w="54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1710" w:type="dxa"/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bottom"/>
          </w:tcPr>
          <w:p w:rsidR="00DA75DF" w:rsidRDefault="00DA75DF" w:rsidP="00DB0927">
            <w:pPr>
              <w:jc w:val="center"/>
            </w:pPr>
          </w:p>
        </w:tc>
      </w:tr>
      <w:tr w:rsidR="00DA75DF" w:rsidTr="00DB0927">
        <w:trPr>
          <w:cantSplit/>
          <w:jc w:val="center"/>
        </w:trPr>
        <w:tc>
          <w:tcPr>
            <w:tcW w:w="4017" w:type="dxa"/>
            <w:vAlign w:val="center"/>
            <w:hideMark/>
          </w:tcPr>
          <w:p w:rsidR="00DA75DF" w:rsidRDefault="00DA75DF" w:rsidP="00DB0927">
            <w:pPr>
              <w:jc w:val="right"/>
              <w:rPr>
                <w:u w:val="single"/>
              </w:rPr>
            </w:pPr>
            <w:r>
              <w:t>Existing Site Area Runoff Coefficient</w:t>
            </w:r>
          </w:p>
        </w:tc>
        <w:tc>
          <w:tcPr>
            <w:tcW w:w="1800" w:type="dxa"/>
            <w:hideMark/>
          </w:tcPr>
          <w:p w:rsidR="00DA75DF" w:rsidRDefault="00DA75DF" w:rsidP="00DB0927">
            <w:pPr>
              <w:jc w:val="center"/>
              <w:rPr>
                <w:sz w:val="20"/>
              </w:rPr>
            </w:pPr>
            <w:r w:rsidRPr="00F313EB">
              <w:rPr>
                <w:position w:val="-26"/>
                <w:sz w:val="20"/>
              </w:rPr>
              <w:object w:dxaOrig="1440" w:dyaOrig="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29.5pt" o:ole="" fillcolor="window">
                  <v:imagedata r:id="rId6" o:title=""/>
                </v:shape>
                <o:OLEObject Type="Embed" ProgID="Equation.3" ShapeID="_x0000_i1025" DrawAspect="Content" ObjectID="_1427630365" r:id="rId7"/>
              </w:object>
            </w:r>
          </w:p>
        </w:tc>
        <w:tc>
          <w:tcPr>
            <w:tcW w:w="540" w:type="dxa"/>
            <w:vAlign w:val="center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center"/>
          </w:tcPr>
          <w:p w:rsidR="00DA75DF" w:rsidRDefault="00DA75DF" w:rsidP="00DB0927">
            <w:pPr>
              <w:jc w:val="center"/>
            </w:pPr>
          </w:p>
        </w:tc>
        <w:tc>
          <w:tcPr>
            <w:tcW w:w="776" w:type="dxa"/>
            <w:vAlign w:val="center"/>
            <w:hideMark/>
          </w:tcPr>
          <w:p w:rsidR="00DA75DF" w:rsidRDefault="00DA75DF" w:rsidP="00DB0927">
            <w:pPr>
              <w:jc w:val="center"/>
            </w:pPr>
            <w:r>
              <w:t>(F)</w:t>
            </w:r>
          </w:p>
        </w:tc>
      </w:tr>
    </w:tbl>
    <w:p w:rsidR="00DA75DF" w:rsidRDefault="00DA75DF" w:rsidP="00DA75DF"/>
    <w:p w:rsidR="00DA75DF" w:rsidRDefault="00DA75DF" w:rsidP="00DA75DF"/>
    <w:p w:rsidR="00DA75DF" w:rsidRDefault="00DA75DF" w:rsidP="00DA75DF"/>
    <w:p w:rsidR="00DA75DF" w:rsidRDefault="00DA75DF" w:rsidP="00DA75DF">
      <w:pPr>
        <w:pStyle w:val="Heading2"/>
      </w:pPr>
      <w:r>
        <w:t>Proposed Site Conditions (after construction)</w:t>
      </w:r>
    </w:p>
    <w:tbl>
      <w:tblPr>
        <w:tblW w:w="0" w:type="auto"/>
        <w:jc w:val="center"/>
        <w:tblLayout w:type="fixed"/>
        <w:tblLook w:val="04A0"/>
      </w:tblPr>
      <w:tblGrid>
        <w:gridCol w:w="4011"/>
        <w:gridCol w:w="1800"/>
        <w:gridCol w:w="540"/>
        <w:gridCol w:w="1710"/>
        <w:gridCol w:w="270"/>
        <w:gridCol w:w="770"/>
      </w:tblGrid>
      <w:tr w:rsidR="00DA75DF" w:rsidTr="00DB0927">
        <w:trPr>
          <w:cantSplit/>
          <w:jc w:val="center"/>
        </w:trPr>
        <w:tc>
          <w:tcPr>
            <w:tcW w:w="5811" w:type="dxa"/>
            <w:gridSpan w:val="2"/>
            <w:vAlign w:val="bottom"/>
            <w:hideMark/>
          </w:tcPr>
          <w:p w:rsidR="00DA75DF" w:rsidRDefault="00DA75DF" w:rsidP="00DB0927">
            <w:pPr>
              <w:ind w:right="122"/>
              <w:jc w:val="right"/>
            </w:pPr>
            <w:r>
              <w:t>Impervious Site Area</w:t>
            </w:r>
            <w:r>
              <w:rPr>
                <w:vertAlign w:val="superscript"/>
              </w:rPr>
              <w:t>1</w:t>
            </w:r>
          </w:p>
        </w:tc>
        <w:tc>
          <w:tcPr>
            <w:tcW w:w="54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(G)</w:t>
            </w:r>
          </w:p>
        </w:tc>
      </w:tr>
      <w:tr w:rsidR="00DA75DF" w:rsidTr="00DB0927">
        <w:trPr>
          <w:cantSplit/>
          <w:jc w:val="center"/>
        </w:trPr>
        <w:tc>
          <w:tcPr>
            <w:tcW w:w="5811" w:type="dxa"/>
            <w:gridSpan w:val="2"/>
            <w:vAlign w:val="bottom"/>
          </w:tcPr>
          <w:p w:rsidR="00DA75DF" w:rsidRDefault="00DA75DF" w:rsidP="00DB0927">
            <w:pPr>
              <w:ind w:right="122"/>
              <w:jc w:val="right"/>
            </w:pPr>
          </w:p>
        </w:tc>
        <w:tc>
          <w:tcPr>
            <w:tcW w:w="54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1710" w:type="dxa"/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0" w:type="dxa"/>
            <w:vAlign w:val="bottom"/>
          </w:tcPr>
          <w:p w:rsidR="00DA75DF" w:rsidRDefault="00DA75DF" w:rsidP="00DB0927">
            <w:pPr>
              <w:jc w:val="center"/>
            </w:pPr>
          </w:p>
        </w:tc>
      </w:tr>
      <w:tr w:rsidR="00DA75DF" w:rsidTr="00DB0927">
        <w:trPr>
          <w:cantSplit/>
          <w:jc w:val="center"/>
        </w:trPr>
        <w:tc>
          <w:tcPr>
            <w:tcW w:w="5811" w:type="dxa"/>
            <w:gridSpan w:val="2"/>
            <w:vAlign w:val="bottom"/>
            <w:hideMark/>
          </w:tcPr>
          <w:p w:rsidR="00DA75DF" w:rsidRDefault="00DA75DF" w:rsidP="00DB0927">
            <w:pPr>
              <w:ind w:right="122"/>
              <w:jc w:val="right"/>
            </w:pPr>
            <w:r>
              <w:t xml:space="preserve">Impervious Site Area Runoff Coefficient </w:t>
            </w:r>
            <w:r>
              <w:rPr>
                <w:vertAlign w:val="superscript"/>
              </w:rPr>
              <w:t>2, 4</w:t>
            </w:r>
          </w:p>
        </w:tc>
        <w:tc>
          <w:tcPr>
            <w:tcW w:w="54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(H)</w:t>
            </w:r>
          </w:p>
        </w:tc>
      </w:tr>
      <w:tr w:rsidR="00DA75DF" w:rsidTr="00DB0927">
        <w:trPr>
          <w:cantSplit/>
          <w:jc w:val="center"/>
        </w:trPr>
        <w:tc>
          <w:tcPr>
            <w:tcW w:w="5811" w:type="dxa"/>
            <w:gridSpan w:val="2"/>
            <w:vAlign w:val="bottom"/>
          </w:tcPr>
          <w:p w:rsidR="00DA75DF" w:rsidRDefault="00DA75DF" w:rsidP="00DB0927">
            <w:pPr>
              <w:ind w:right="122"/>
              <w:jc w:val="right"/>
            </w:pPr>
          </w:p>
        </w:tc>
        <w:tc>
          <w:tcPr>
            <w:tcW w:w="54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1710" w:type="dxa"/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0" w:type="dxa"/>
            <w:vAlign w:val="bottom"/>
          </w:tcPr>
          <w:p w:rsidR="00DA75DF" w:rsidRDefault="00DA75DF" w:rsidP="00DB0927">
            <w:pPr>
              <w:jc w:val="center"/>
            </w:pPr>
          </w:p>
        </w:tc>
      </w:tr>
      <w:tr w:rsidR="00DA75DF" w:rsidTr="00DB0927">
        <w:trPr>
          <w:cantSplit/>
          <w:jc w:val="center"/>
        </w:trPr>
        <w:tc>
          <w:tcPr>
            <w:tcW w:w="5811" w:type="dxa"/>
            <w:gridSpan w:val="2"/>
            <w:vAlign w:val="bottom"/>
            <w:hideMark/>
          </w:tcPr>
          <w:p w:rsidR="00DA75DF" w:rsidRDefault="00DA75DF" w:rsidP="00DB0927">
            <w:pPr>
              <w:ind w:right="122"/>
              <w:jc w:val="right"/>
            </w:pPr>
            <w:r>
              <w:t>Pervious Site Area</w:t>
            </w:r>
            <w:r>
              <w:rPr>
                <w:vertAlign w:val="superscript"/>
              </w:rPr>
              <w:t>3</w:t>
            </w:r>
          </w:p>
        </w:tc>
        <w:tc>
          <w:tcPr>
            <w:tcW w:w="54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(I)</w:t>
            </w:r>
          </w:p>
        </w:tc>
      </w:tr>
      <w:tr w:rsidR="00DA75DF" w:rsidTr="00DB0927">
        <w:trPr>
          <w:cantSplit/>
          <w:jc w:val="center"/>
        </w:trPr>
        <w:tc>
          <w:tcPr>
            <w:tcW w:w="5811" w:type="dxa"/>
            <w:gridSpan w:val="2"/>
            <w:vAlign w:val="bottom"/>
          </w:tcPr>
          <w:p w:rsidR="00DA75DF" w:rsidRDefault="00DA75DF" w:rsidP="00DB0927">
            <w:pPr>
              <w:ind w:right="122"/>
              <w:jc w:val="right"/>
            </w:pPr>
          </w:p>
        </w:tc>
        <w:tc>
          <w:tcPr>
            <w:tcW w:w="54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1710" w:type="dxa"/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0" w:type="dxa"/>
            <w:vAlign w:val="bottom"/>
          </w:tcPr>
          <w:p w:rsidR="00DA75DF" w:rsidRDefault="00DA75DF" w:rsidP="00DB0927">
            <w:pPr>
              <w:jc w:val="center"/>
            </w:pPr>
          </w:p>
        </w:tc>
      </w:tr>
      <w:tr w:rsidR="00DA75DF" w:rsidTr="00DB0927">
        <w:trPr>
          <w:cantSplit/>
          <w:jc w:val="center"/>
        </w:trPr>
        <w:tc>
          <w:tcPr>
            <w:tcW w:w="5811" w:type="dxa"/>
            <w:gridSpan w:val="2"/>
            <w:vAlign w:val="bottom"/>
            <w:hideMark/>
          </w:tcPr>
          <w:p w:rsidR="00DA75DF" w:rsidRDefault="00DA75DF" w:rsidP="00DB0927">
            <w:pPr>
              <w:ind w:right="122"/>
              <w:jc w:val="right"/>
            </w:pPr>
            <w:r>
              <w:t>Pervious Site Area Runoff Coefficient</w:t>
            </w:r>
            <w:r>
              <w:rPr>
                <w:vertAlign w:val="superscript"/>
              </w:rPr>
              <w:t>4</w:t>
            </w:r>
          </w:p>
        </w:tc>
        <w:tc>
          <w:tcPr>
            <w:tcW w:w="54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0" w:type="dxa"/>
            <w:vAlign w:val="bottom"/>
            <w:hideMark/>
          </w:tcPr>
          <w:p w:rsidR="00DA75DF" w:rsidRDefault="00DA75DF" w:rsidP="00DB0927">
            <w:pPr>
              <w:jc w:val="center"/>
            </w:pPr>
            <w:r>
              <w:t>(J)</w:t>
            </w:r>
          </w:p>
        </w:tc>
      </w:tr>
      <w:tr w:rsidR="00DA75DF" w:rsidTr="00DB0927">
        <w:trPr>
          <w:cantSplit/>
          <w:jc w:val="center"/>
        </w:trPr>
        <w:tc>
          <w:tcPr>
            <w:tcW w:w="5811" w:type="dxa"/>
            <w:gridSpan w:val="2"/>
            <w:vAlign w:val="bottom"/>
          </w:tcPr>
          <w:p w:rsidR="00DA75DF" w:rsidRDefault="00DA75DF" w:rsidP="00DB0927">
            <w:pPr>
              <w:ind w:right="122"/>
              <w:jc w:val="right"/>
            </w:pPr>
          </w:p>
        </w:tc>
        <w:tc>
          <w:tcPr>
            <w:tcW w:w="54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1710" w:type="dxa"/>
            <w:vAlign w:val="bottom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bottom"/>
          </w:tcPr>
          <w:p w:rsidR="00DA75DF" w:rsidRDefault="00DA75DF" w:rsidP="00DB0927">
            <w:pPr>
              <w:jc w:val="center"/>
            </w:pPr>
          </w:p>
        </w:tc>
        <w:tc>
          <w:tcPr>
            <w:tcW w:w="770" w:type="dxa"/>
            <w:vAlign w:val="bottom"/>
          </w:tcPr>
          <w:p w:rsidR="00DA75DF" w:rsidRDefault="00DA75DF" w:rsidP="00DB0927">
            <w:pPr>
              <w:jc w:val="center"/>
            </w:pPr>
          </w:p>
        </w:tc>
      </w:tr>
      <w:tr w:rsidR="00DA75DF" w:rsidTr="00DB0927">
        <w:trPr>
          <w:cantSplit/>
          <w:jc w:val="center"/>
        </w:trPr>
        <w:tc>
          <w:tcPr>
            <w:tcW w:w="4011" w:type="dxa"/>
            <w:vAlign w:val="center"/>
            <w:hideMark/>
          </w:tcPr>
          <w:p w:rsidR="00DA75DF" w:rsidRDefault="00DA75DF" w:rsidP="00DB0927">
            <w:pPr>
              <w:jc w:val="right"/>
              <w:rPr>
                <w:u w:val="single"/>
              </w:rPr>
            </w:pPr>
            <w:r>
              <w:t>Proposed Site Area Runoff Coefficient</w:t>
            </w:r>
          </w:p>
        </w:tc>
        <w:tc>
          <w:tcPr>
            <w:tcW w:w="1800" w:type="dxa"/>
            <w:hideMark/>
          </w:tcPr>
          <w:p w:rsidR="00DA75DF" w:rsidRDefault="00DA75DF" w:rsidP="00DB0927">
            <w:pPr>
              <w:jc w:val="center"/>
              <w:rPr>
                <w:sz w:val="20"/>
              </w:rPr>
            </w:pPr>
            <w:r w:rsidRPr="00F313EB">
              <w:rPr>
                <w:position w:val="-26"/>
                <w:sz w:val="20"/>
              </w:rPr>
              <w:object w:dxaOrig="1365" w:dyaOrig="585">
                <v:shape id="_x0000_i1026" type="#_x0000_t75" style="width:68.5pt;height:29.5pt" o:ole="" fillcolor="window">
                  <v:imagedata r:id="rId8" o:title=""/>
                </v:shape>
                <o:OLEObject Type="Embed" ProgID="Equation.3" ShapeID="_x0000_i1026" DrawAspect="Content" ObjectID="_1427630366" r:id="rId9"/>
              </w:object>
            </w:r>
          </w:p>
        </w:tc>
        <w:tc>
          <w:tcPr>
            <w:tcW w:w="540" w:type="dxa"/>
            <w:vAlign w:val="center"/>
            <w:hideMark/>
          </w:tcPr>
          <w:p w:rsidR="00DA75DF" w:rsidRDefault="00DA75DF" w:rsidP="00DB0927">
            <w:pPr>
              <w:jc w:val="center"/>
            </w:pPr>
            <w:r>
              <w:t>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5DF" w:rsidRDefault="00DA75DF" w:rsidP="00DB0927">
            <w:pPr>
              <w:ind w:right="72"/>
              <w:jc w:val="right"/>
            </w:pPr>
          </w:p>
        </w:tc>
        <w:tc>
          <w:tcPr>
            <w:tcW w:w="270" w:type="dxa"/>
            <w:vAlign w:val="center"/>
          </w:tcPr>
          <w:p w:rsidR="00DA75DF" w:rsidRDefault="00DA75DF" w:rsidP="00DB0927">
            <w:pPr>
              <w:jc w:val="center"/>
            </w:pPr>
          </w:p>
        </w:tc>
        <w:tc>
          <w:tcPr>
            <w:tcW w:w="770" w:type="dxa"/>
            <w:vAlign w:val="center"/>
            <w:hideMark/>
          </w:tcPr>
          <w:p w:rsidR="00DA75DF" w:rsidRDefault="00DA75DF" w:rsidP="00DB0927">
            <w:pPr>
              <w:jc w:val="center"/>
            </w:pPr>
            <w:r>
              <w:t>(K)</w:t>
            </w:r>
          </w:p>
        </w:tc>
      </w:tr>
    </w:tbl>
    <w:p w:rsidR="00DA75DF" w:rsidRDefault="00DA75DF" w:rsidP="00DA75DF"/>
    <w:p w:rsidR="00DA75DF" w:rsidRDefault="00DA75DF" w:rsidP="00DA75DF"/>
    <w:p w:rsidR="00DA75DF" w:rsidRDefault="00DA75DF" w:rsidP="00DA75DF">
      <w:pPr>
        <w:numPr>
          <w:ilvl w:val="0"/>
          <w:numId w:val="2"/>
        </w:numPr>
        <w:ind w:left="720"/>
        <w:rPr>
          <w:sz w:val="22"/>
        </w:rPr>
      </w:pPr>
      <w:r>
        <w:rPr>
          <w:sz w:val="22"/>
        </w:rPr>
        <w:t>Paved areas.</w:t>
      </w:r>
    </w:p>
    <w:p w:rsidR="00DA75DF" w:rsidRDefault="00DA75DF" w:rsidP="00DA75DF">
      <w:pPr>
        <w:numPr>
          <w:ilvl w:val="0"/>
          <w:numId w:val="2"/>
        </w:numPr>
        <w:ind w:left="720"/>
        <w:rPr>
          <w:sz w:val="22"/>
        </w:rPr>
      </w:pPr>
      <w:r>
        <w:rPr>
          <w:sz w:val="22"/>
        </w:rPr>
        <w:t>Use 0.9 for paved roads and 0.7 for gravel roads.</w:t>
      </w:r>
    </w:p>
    <w:p w:rsidR="00DA75DF" w:rsidRDefault="00DA75DF" w:rsidP="00DA75DF">
      <w:pPr>
        <w:numPr>
          <w:ilvl w:val="0"/>
          <w:numId w:val="2"/>
        </w:numPr>
        <w:ind w:left="720"/>
        <w:rPr>
          <w:sz w:val="22"/>
        </w:rPr>
      </w:pPr>
      <w:r>
        <w:rPr>
          <w:sz w:val="22"/>
        </w:rPr>
        <w:t>Includes areas of vegetation, most unpaved or uncovered soil surfaces, and other pervious areas.</w:t>
      </w:r>
    </w:p>
    <w:p w:rsidR="00DA75DF" w:rsidRDefault="00DA75DF" w:rsidP="00DA75DF">
      <w:pPr>
        <w:numPr>
          <w:ilvl w:val="0"/>
          <w:numId w:val="2"/>
        </w:numPr>
        <w:ind w:left="720"/>
        <w:rPr>
          <w:sz w:val="22"/>
        </w:rPr>
      </w:pPr>
      <w:r>
        <w:rPr>
          <w:sz w:val="22"/>
        </w:rPr>
        <w:t xml:space="preserve">Use the table from the State’s </w:t>
      </w:r>
      <w:proofErr w:type="spellStart"/>
      <w:r>
        <w:rPr>
          <w:sz w:val="22"/>
        </w:rPr>
        <w:t>stormwater</w:t>
      </w:r>
      <w:proofErr w:type="spellEnd"/>
      <w:r>
        <w:rPr>
          <w:sz w:val="22"/>
        </w:rPr>
        <w:t xml:space="preserve"> manual.</w:t>
      </w:r>
    </w:p>
    <w:p w:rsidR="00DA75DF" w:rsidRDefault="00DA75DF" w:rsidP="00DA75DF"/>
    <w:p w:rsidR="00DA75DF" w:rsidRDefault="00DA75DF" w:rsidP="00DA75DF">
      <w:pPr>
        <w:pStyle w:val="Instructions"/>
        <w:keepNext/>
      </w:pPr>
      <w:r>
        <w:t>INSTRUCTIONS</w:t>
      </w:r>
    </w:p>
    <w:p w:rsidR="00DA75DF" w:rsidRDefault="00DA75DF" w:rsidP="00DA75DF">
      <w:pPr>
        <w:pStyle w:val="BulletInstr"/>
        <w:rPr>
          <w:sz w:val="22"/>
        </w:rPr>
      </w:pPr>
      <w:r>
        <w:t>The runoff coefficient (“C” value) is used to estimate the impact on stormwater runoff due to development of a site.  The C value is the amount of rainfall that becomes runoff.  The less runoff that is absorbed into the ground, the higher the C value.  This information may be provided by Caltrans.</w:t>
      </w:r>
    </w:p>
    <w:p w:rsidR="00DA75DF" w:rsidRDefault="00DA75DF" w:rsidP="00DA75DF">
      <w:pPr>
        <w:pStyle w:val="BulletInstr"/>
        <w:rPr>
          <w:sz w:val="22"/>
        </w:rPr>
      </w:pPr>
      <w:r>
        <w:t>Refer to the Caltrans Highway Design Manual, Topic 819 – Estimating Design Discharge, for a more detailed explanation on calculating weighted runoff coefficients for areas containing varying amounts of different cover.</w:t>
      </w:r>
    </w:p>
    <w:p w:rsidR="00DA75DF" w:rsidRDefault="00DA75DF" w:rsidP="00DA75DF">
      <w:pPr>
        <w:pStyle w:val="BulletInstr"/>
        <w:rPr>
          <w:sz w:val="22"/>
        </w:rPr>
      </w:pPr>
      <w:r>
        <w:t>Refer to Figure 819.2A, “Runoff Coefficients for Undeveloped Areas”, and Table 819.2B, “Runoff Coefficients for Developed Areas” provided with this Attachment.</w:t>
      </w:r>
    </w:p>
    <w:p w:rsidR="00DA75DF" w:rsidRDefault="00DA75DF" w:rsidP="00DA75DF">
      <w:pPr>
        <w:pStyle w:val="Example"/>
      </w:pPr>
      <w:r>
        <w:t>EXAMPLE</w:t>
      </w:r>
    </w:p>
    <w:p w:rsidR="00DA75DF" w:rsidRDefault="00DA75DF" w:rsidP="00DA75DF">
      <w:pPr>
        <w:pStyle w:val="NoteHeading"/>
        <w:rPr>
          <w:vanish/>
        </w:rPr>
      </w:pPr>
    </w:p>
    <w:p w:rsidR="00DA75DF" w:rsidRDefault="00DA75DF" w:rsidP="00DA75DF">
      <w:pPr>
        <w:ind w:firstLine="720"/>
        <w:rPr>
          <w:vanish/>
        </w:rPr>
      </w:pPr>
      <w:r>
        <w:rPr>
          <w:vanish/>
        </w:rPr>
        <w:t>Total Site Area</w:t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171,965 m</w:t>
      </w:r>
      <w:r>
        <w:rPr>
          <w:vanish/>
          <w:vertAlign w:val="superscript"/>
        </w:rPr>
        <w:t>2</w:t>
      </w:r>
      <w:r>
        <w:rPr>
          <w:vanish/>
        </w:rPr>
        <w:tab/>
        <w:t>(A)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pStyle w:val="SectionHead2"/>
        <w:rPr>
          <w:vanish/>
        </w:rPr>
      </w:pPr>
      <w:r>
        <w:rPr>
          <w:vanish/>
        </w:rPr>
        <w:t>Existing Site Conditions</w:t>
      </w:r>
    </w:p>
    <w:p w:rsidR="00DA75DF" w:rsidRDefault="00DA75DF" w:rsidP="00DA75DF">
      <w:pPr>
        <w:rPr>
          <w:vanish/>
        </w:rPr>
      </w:pPr>
      <w:r>
        <w:rPr>
          <w:vanish/>
        </w:rPr>
        <w:tab/>
        <w:t>Impervious Area</w:t>
      </w:r>
      <w:r>
        <w:rPr>
          <w:vanish/>
          <w:vertAlign w:val="superscript"/>
        </w:rPr>
        <w:t>1</w:t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88,157 m</w:t>
      </w:r>
      <w:r>
        <w:rPr>
          <w:vanish/>
          <w:vertAlign w:val="superscript"/>
        </w:rPr>
        <w:t>2</w:t>
      </w:r>
      <w:r>
        <w:rPr>
          <w:vanish/>
        </w:rPr>
        <w:tab/>
        <w:t>(B)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  <w:t xml:space="preserve">Impervious Area Runoff Coefficient </w:t>
      </w:r>
      <w:r>
        <w:rPr>
          <w:vanish/>
          <w:vertAlign w:val="superscript"/>
        </w:rPr>
        <w:t>2, 4</w:t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0.95</w:t>
      </w:r>
      <w:r>
        <w:rPr>
          <w:vanish/>
        </w:rPr>
        <w:tab/>
      </w:r>
      <w:r>
        <w:rPr>
          <w:vanish/>
        </w:rPr>
        <w:tab/>
        <w:t>(C)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88157 x 0.95</w:t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83,749 m</w:t>
      </w:r>
      <w:r>
        <w:rPr>
          <w:vanish/>
          <w:vertAlign w:val="superscript"/>
        </w:rPr>
        <w:t xml:space="preserve">2 </w:t>
      </w:r>
      <w:r>
        <w:rPr>
          <w:vanish/>
        </w:rPr>
        <w:tab/>
        <w:t>(B x C)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  <w:t>Pervious Area</w:t>
      </w:r>
      <w:r>
        <w:rPr>
          <w:vanish/>
          <w:vertAlign w:val="superscript"/>
        </w:rPr>
        <w:t>3</w:t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83,808 m</w:t>
      </w:r>
      <w:r>
        <w:rPr>
          <w:vanish/>
          <w:vertAlign w:val="superscript"/>
        </w:rPr>
        <w:t>2</w:t>
      </w:r>
      <w:r>
        <w:rPr>
          <w:vanish/>
        </w:rPr>
        <w:tab/>
        <w:t>(D)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  <w:t>Pervious Area Runoff Coefficient</w:t>
      </w:r>
      <w:r>
        <w:rPr>
          <w:vanish/>
          <w:vertAlign w:val="superscript"/>
        </w:rPr>
        <w:t>4</w:t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0.4</w:t>
      </w:r>
      <w:r>
        <w:rPr>
          <w:vanish/>
        </w:rPr>
        <w:tab/>
      </w:r>
      <w:r>
        <w:rPr>
          <w:vanish/>
        </w:rPr>
        <w:tab/>
        <w:t>(E)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83808 x 0.4</w:t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33,523 m</w:t>
      </w:r>
      <w:r>
        <w:rPr>
          <w:vanish/>
          <w:vertAlign w:val="superscript"/>
        </w:rPr>
        <w:t>2</w:t>
      </w:r>
      <w:r>
        <w:rPr>
          <w:vanish/>
        </w:rPr>
        <w:tab/>
        <w:t>(D x E)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Sum:</w:t>
      </w:r>
      <w:r>
        <w:rPr>
          <w:vanish/>
        </w:rPr>
        <w:tab/>
        <w:t>83749 + 33523</w:t>
      </w:r>
      <w:r>
        <w:rPr>
          <w:vanish/>
        </w:rPr>
        <w:tab/>
        <w:t>=</w:t>
      </w:r>
      <w:r>
        <w:rPr>
          <w:vanish/>
        </w:rPr>
        <w:tab/>
        <w:t>117,272</w:t>
      </w:r>
      <w:r>
        <w:rPr>
          <w:vanish/>
        </w:rPr>
        <w:tab/>
        <w:t>(B x C) + (D x E)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Divide: 140738/171965</w:t>
      </w:r>
      <w:r>
        <w:rPr>
          <w:vanish/>
        </w:rPr>
        <w:tab/>
        <w:t>=</w:t>
      </w:r>
      <w:r>
        <w:rPr>
          <w:vanish/>
        </w:rPr>
        <w:tab/>
        <w:t>0.68</w:t>
      </w:r>
      <w:r>
        <w:rPr>
          <w:vanish/>
        </w:rPr>
        <w:tab/>
      </w:r>
      <w:r>
        <w:rPr>
          <w:vanish/>
        </w:rPr>
        <w:tab/>
      </w:r>
      <w:r w:rsidRPr="00F313EB">
        <w:rPr>
          <w:vanish/>
          <w:position w:val="-26"/>
          <w:sz w:val="20"/>
        </w:rPr>
        <w:object w:dxaOrig="1440" w:dyaOrig="585">
          <v:shape id="_x0000_i1027" type="#_x0000_t75" style="width:1in;height:29.5pt" o:ole="" fillcolor="window">
            <v:imagedata r:id="rId6" o:title=""/>
          </v:shape>
          <o:OLEObject Type="Embed" ProgID="Equation.3" ShapeID="_x0000_i1027" DrawAspect="Content" ObjectID="_1427630367" r:id="rId10"/>
        </w:object>
      </w:r>
    </w:p>
    <w:p w:rsidR="00DA75DF" w:rsidRDefault="00DA75DF" w:rsidP="00DA75DF">
      <w:pPr>
        <w:rPr>
          <w:vanish/>
        </w:rPr>
      </w:pPr>
      <w:r>
        <w:rPr>
          <w:vanish/>
        </w:rPr>
        <w:tab/>
        <w:t>Existing Area Runoff Coefficient</w:t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0.68</w:t>
      </w:r>
      <w:r>
        <w:rPr>
          <w:vanish/>
        </w:rPr>
        <w:tab/>
      </w:r>
      <w:r>
        <w:rPr>
          <w:vanish/>
        </w:rPr>
        <w:tab/>
        <w:t>(F)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pStyle w:val="Heading2"/>
        <w:rPr>
          <w:vanish/>
        </w:rPr>
      </w:pPr>
      <w:r>
        <w:rPr>
          <w:vanish/>
        </w:rPr>
        <w:t>Proposed Site Conditions</w:t>
      </w:r>
    </w:p>
    <w:p w:rsidR="00DA75DF" w:rsidRDefault="00DA75DF" w:rsidP="00DA75DF">
      <w:pPr>
        <w:rPr>
          <w:vanish/>
        </w:rPr>
      </w:pPr>
      <w:r>
        <w:rPr>
          <w:vanish/>
        </w:rPr>
        <w:tab/>
        <w:t>Impervious Area</w:t>
      </w:r>
      <w:r>
        <w:rPr>
          <w:vanish/>
          <w:vertAlign w:val="superscript"/>
        </w:rPr>
        <w:t>1</w:t>
      </w:r>
      <w:r>
        <w:rPr>
          <w:vanish/>
          <w:vertAlign w:val="superscript"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100,036 m</w:t>
      </w:r>
      <w:r>
        <w:rPr>
          <w:vanish/>
          <w:vertAlign w:val="superscript"/>
        </w:rPr>
        <w:t>2</w:t>
      </w:r>
      <w:r>
        <w:rPr>
          <w:vanish/>
        </w:rPr>
        <w:tab/>
        <w:t>(G)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  <w:t>Impervious Area Runoff Coefficient</w:t>
      </w:r>
      <w:r>
        <w:rPr>
          <w:vanish/>
          <w:vertAlign w:val="superscript"/>
        </w:rPr>
        <w:t>2, 4</w:t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0.95</w:t>
      </w:r>
      <w:r>
        <w:rPr>
          <w:vanish/>
        </w:rPr>
        <w:tab/>
      </w:r>
      <w:r>
        <w:rPr>
          <w:vanish/>
        </w:rPr>
        <w:tab/>
        <w:t>(H)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100036 x 0.95</w:t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95,034 m</w:t>
      </w:r>
      <w:r>
        <w:rPr>
          <w:vanish/>
          <w:vertAlign w:val="superscript"/>
        </w:rPr>
        <w:t xml:space="preserve">2 </w:t>
      </w:r>
      <w:r>
        <w:rPr>
          <w:vanish/>
        </w:rPr>
        <w:tab/>
        <w:t>(G x H)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  <w:t>Pervious Area</w:t>
      </w:r>
      <w:r>
        <w:rPr>
          <w:vanish/>
          <w:vertAlign w:val="superscript"/>
        </w:rPr>
        <w:t>3</w:t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71,929 m</w:t>
      </w:r>
      <w:r>
        <w:rPr>
          <w:vanish/>
          <w:vertAlign w:val="superscript"/>
        </w:rPr>
        <w:t>2</w:t>
      </w:r>
      <w:r>
        <w:rPr>
          <w:vanish/>
        </w:rPr>
        <w:tab/>
        <w:t>(I)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  <w:t>Pervious Area Runoff Coefficient</w:t>
      </w:r>
      <w:r>
        <w:rPr>
          <w:vanish/>
          <w:vertAlign w:val="superscript"/>
        </w:rPr>
        <w:t>4</w:t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0.4</w:t>
      </w:r>
      <w:r>
        <w:rPr>
          <w:vanish/>
        </w:rPr>
        <w:tab/>
      </w:r>
      <w:r>
        <w:rPr>
          <w:vanish/>
        </w:rPr>
        <w:tab/>
        <w:t>(J)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71929 x 0.4</w:t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28,771 m</w:t>
      </w:r>
      <w:r>
        <w:rPr>
          <w:vanish/>
          <w:vertAlign w:val="superscript"/>
        </w:rPr>
        <w:t xml:space="preserve">2 </w:t>
      </w:r>
      <w:r>
        <w:rPr>
          <w:vanish/>
        </w:rPr>
        <w:tab/>
        <w:t>(I x J)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Sum:</w:t>
      </w:r>
      <w:r>
        <w:rPr>
          <w:vanish/>
        </w:rPr>
        <w:tab/>
        <w:t>95034 + 28771</w:t>
      </w:r>
      <w:r>
        <w:rPr>
          <w:vanish/>
        </w:rPr>
        <w:tab/>
        <w:t>=</w:t>
      </w:r>
      <w:r>
        <w:rPr>
          <w:vanish/>
        </w:rPr>
        <w:tab/>
        <w:t>123,805</w:t>
      </w:r>
      <w:r>
        <w:rPr>
          <w:vanish/>
        </w:rPr>
        <w:tab/>
        <w:t>(G x H) + (I x J)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Divide: 123805/171965</w:t>
      </w:r>
      <w:r>
        <w:rPr>
          <w:vanish/>
        </w:rPr>
        <w:tab/>
        <w:t>=</w:t>
      </w:r>
      <w:r>
        <w:rPr>
          <w:vanish/>
        </w:rPr>
        <w:tab/>
        <w:t>0.72</w:t>
      </w:r>
      <w:r>
        <w:rPr>
          <w:vanish/>
        </w:rPr>
        <w:tab/>
      </w:r>
      <w:r>
        <w:rPr>
          <w:vanish/>
        </w:rPr>
        <w:tab/>
      </w:r>
      <w:r w:rsidRPr="00F313EB">
        <w:rPr>
          <w:vanish/>
          <w:position w:val="-26"/>
          <w:sz w:val="20"/>
        </w:rPr>
        <w:object w:dxaOrig="1305" w:dyaOrig="600">
          <v:shape id="_x0000_i1028" type="#_x0000_t75" style="width:65.5pt;height:30pt" o:ole="" fillcolor="window">
            <v:imagedata r:id="rId11" o:title=""/>
          </v:shape>
          <o:OLEObject Type="Embed" ProgID="Equation.3" ShapeID="_x0000_i1028" DrawAspect="Content" ObjectID="_1427630368" r:id="rId12"/>
        </w:object>
      </w:r>
    </w:p>
    <w:p w:rsidR="00DA75DF" w:rsidRDefault="00DA75DF" w:rsidP="00DA75DF">
      <w:pPr>
        <w:rPr>
          <w:vanish/>
        </w:rPr>
      </w:pPr>
      <w:r>
        <w:rPr>
          <w:vanish/>
        </w:rPr>
        <w:tab/>
        <w:t>Existing Area Runoff Coefficient</w:t>
      </w:r>
      <w:r>
        <w:rPr>
          <w:vanish/>
        </w:rPr>
        <w:tab/>
      </w:r>
      <w:r>
        <w:rPr>
          <w:vanish/>
        </w:rPr>
        <w:tab/>
      </w:r>
      <w:r>
        <w:rPr>
          <w:vanish/>
        </w:rPr>
        <w:tab/>
        <w:t>=</w:t>
      </w:r>
      <w:r>
        <w:rPr>
          <w:vanish/>
        </w:rPr>
        <w:tab/>
        <w:t>0.72</w:t>
      </w:r>
      <w:r>
        <w:rPr>
          <w:vanish/>
        </w:rPr>
        <w:tab/>
      </w:r>
      <w:r>
        <w:rPr>
          <w:vanish/>
        </w:rPr>
        <w:tab/>
        <w:t>(F)</w:t>
      </w: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rPr>
          <w:vanish/>
        </w:rPr>
      </w:pPr>
    </w:p>
    <w:p w:rsidR="00DA75DF" w:rsidRDefault="00DA75DF" w:rsidP="00DA75DF">
      <w:pPr>
        <w:pStyle w:val="ReqText"/>
        <w:rPr>
          <w:sz w:val="22"/>
        </w:rPr>
      </w:pPr>
    </w:p>
    <w:p w:rsidR="00E616AA" w:rsidRDefault="00E616AA"/>
    <w:sectPr w:rsidR="00E616AA" w:rsidSect="00F31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2249D"/>
    <w:multiLevelType w:val="singleLevel"/>
    <w:tmpl w:val="F4B2113E"/>
    <w:lvl w:ilvl="0">
      <w:start w:val="1"/>
      <w:numFmt w:val="bullet"/>
      <w:pStyle w:val="BulletInstr"/>
      <w:lvlText w:val=""/>
      <w:lvlJc w:val="left"/>
      <w:pPr>
        <w:tabs>
          <w:tab w:val="num" w:pos="533"/>
        </w:tabs>
        <w:ind w:left="533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">
    <w:nsid w:val="7E776B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75DF"/>
    <w:rsid w:val="00941849"/>
    <w:rsid w:val="00DA75DF"/>
    <w:rsid w:val="00E616AA"/>
    <w:rsid w:val="00F3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DF"/>
    <w:pPr>
      <w:spacing w:after="0" w:line="240" w:lineRule="atLeast"/>
    </w:pPr>
    <w:rPr>
      <w:rFonts w:eastAsia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DA75DF"/>
    <w:pPr>
      <w:keepNext/>
      <w:tabs>
        <w:tab w:val="left" w:pos="1080"/>
      </w:tabs>
      <w:spacing w:after="240"/>
      <w:ind w:left="1080" w:hanging="1080"/>
      <w:outlineLvl w:val="1"/>
    </w:pPr>
    <w:rPr>
      <w:rFonts w:ascii="Arial" w:hAnsi="Arial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75DF"/>
    <w:rPr>
      <w:rFonts w:ascii="Arial" w:eastAsia="Times New Roman" w:hAnsi="Arial" w:cs="Times New Roman"/>
      <w:sz w:val="32"/>
      <w:szCs w:val="20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DA75DF"/>
  </w:style>
  <w:style w:type="character" w:customStyle="1" w:styleId="NoteHeadingChar">
    <w:name w:val="Note Heading Char"/>
    <w:basedOn w:val="DefaultParagraphFont"/>
    <w:link w:val="NoteHeading"/>
    <w:semiHidden/>
    <w:rsid w:val="00DA75DF"/>
    <w:rPr>
      <w:rFonts w:eastAsia="Times New Roman" w:cs="Times New Roman"/>
      <w:szCs w:val="20"/>
    </w:rPr>
  </w:style>
  <w:style w:type="paragraph" w:customStyle="1" w:styleId="Instructions">
    <w:name w:val="Instructions"/>
    <w:basedOn w:val="Normal"/>
    <w:rsid w:val="00DA75DF"/>
    <w:pPr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spacing w:before="240" w:after="280"/>
    </w:pPr>
    <w:rPr>
      <w:rFonts w:ascii="Arial" w:hAnsi="Arial"/>
      <w:b/>
      <w:i/>
      <w:vanish/>
      <w:color w:val="0000FF"/>
      <w:sz w:val="28"/>
    </w:rPr>
  </w:style>
  <w:style w:type="paragraph" w:customStyle="1" w:styleId="BulletInstr">
    <w:name w:val="BulletInstr"/>
    <w:basedOn w:val="Instructions"/>
    <w:rsid w:val="00DA75DF"/>
    <w:pPr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  <w:rPr>
      <w:b w:val="0"/>
      <w:i w:val="0"/>
      <w:sz w:val="20"/>
    </w:rPr>
  </w:style>
  <w:style w:type="paragraph" w:customStyle="1" w:styleId="Example">
    <w:name w:val="Example"/>
    <w:basedOn w:val="Instructions"/>
    <w:rsid w:val="00DA75DF"/>
    <w:pPr>
      <w:pBdr>
        <w:top w:val="single" w:sz="12" w:space="1" w:color="008080"/>
        <w:left w:val="single" w:sz="12" w:space="4" w:color="008080"/>
        <w:bottom w:val="single" w:sz="12" w:space="1" w:color="008080"/>
        <w:right w:val="single" w:sz="12" w:space="4" w:color="008080"/>
      </w:pBdr>
    </w:pPr>
    <w:rPr>
      <w:color w:val="008080"/>
    </w:rPr>
  </w:style>
  <w:style w:type="paragraph" w:customStyle="1" w:styleId="ReqText">
    <w:name w:val="ReqText"/>
    <w:basedOn w:val="Instructions"/>
    <w:rsid w:val="00DA75DF"/>
    <w:pPr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pacing w:line="240" w:lineRule="auto"/>
    </w:pPr>
    <w:rPr>
      <w:color w:val="FF0000"/>
    </w:rPr>
  </w:style>
  <w:style w:type="paragraph" w:customStyle="1" w:styleId="SectionHead2">
    <w:name w:val="SectionHead2"/>
    <w:basedOn w:val="Heading2"/>
    <w:rsid w:val="00DA7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DF"/>
    <w:pPr>
      <w:spacing w:after="0" w:line="240" w:lineRule="atLeast"/>
    </w:pPr>
    <w:rPr>
      <w:rFonts w:eastAsia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DA75DF"/>
    <w:pPr>
      <w:keepNext/>
      <w:tabs>
        <w:tab w:val="left" w:pos="1080"/>
      </w:tabs>
      <w:spacing w:after="240"/>
      <w:ind w:left="1080" w:hanging="1080"/>
      <w:outlineLvl w:val="1"/>
    </w:pPr>
    <w:rPr>
      <w:rFonts w:ascii="Arial" w:hAnsi="Arial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75DF"/>
    <w:rPr>
      <w:rFonts w:ascii="Arial" w:eastAsia="Times New Roman" w:hAnsi="Arial" w:cs="Times New Roman"/>
      <w:sz w:val="32"/>
      <w:szCs w:val="20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DA75DF"/>
  </w:style>
  <w:style w:type="character" w:customStyle="1" w:styleId="NoteHeadingChar">
    <w:name w:val="Note Heading Char"/>
    <w:basedOn w:val="DefaultParagraphFont"/>
    <w:link w:val="NoteHeading"/>
    <w:semiHidden/>
    <w:rsid w:val="00DA75DF"/>
    <w:rPr>
      <w:rFonts w:eastAsia="Times New Roman" w:cs="Times New Roman"/>
      <w:szCs w:val="20"/>
    </w:rPr>
  </w:style>
  <w:style w:type="paragraph" w:customStyle="1" w:styleId="Instructions">
    <w:name w:val="Instructions"/>
    <w:basedOn w:val="Normal"/>
    <w:rsid w:val="00DA75DF"/>
    <w:pPr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spacing w:before="240" w:after="280"/>
    </w:pPr>
    <w:rPr>
      <w:rFonts w:ascii="Arial" w:hAnsi="Arial"/>
      <w:b/>
      <w:i/>
      <w:vanish/>
      <w:color w:val="0000FF"/>
      <w:sz w:val="28"/>
    </w:rPr>
  </w:style>
  <w:style w:type="paragraph" w:customStyle="1" w:styleId="BulletInstr">
    <w:name w:val="BulletInstr"/>
    <w:basedOn w:val="Instructions"/>
    <w:rsid w:val="00DA75DF"/>
    <w:pPr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  <w:rPr>
      <w:b w:val="0"/>
      <w:i w:val="0"/>
      <w:sz w:val="20"/>
    </w:rPr>
  </w:style>
  <w:style w:type="paragraph" w:customStyle="1" w:styleId="Example">
    <w:name w:val="Example"/>
    <w:basedOn w:val="Instructions"/>
    <w:rsid w:val="00DA75DF"/>
    <w:pPr>
      <w:pBdr>
        <w:top w:val="single" w:sz="12" w:space="1" w:color="008080"/>
        <w:left w:val="single" w:sz="12" w:space="4" w:color="008080"/>
        <w:bottom w:val="single" w:sz="12" w:space="1" w:color="008080"/>
        <w:right w:val="single" w:sz="12" w:space="4" w:color="008080"/>
      </w:pBdr>
    </w:pPr>
    <w:rPr>
      <w:color w:val="008080"/>
    </w:rPr>
  </w:style>
  <w:style w:type="paragraph" w:customStyle="1" w:styleId="ReqText">
    <w:name w:val="ReqText"/>
    <w:basedOn w:val="Instructions"/>
    <w:rsid w:val="00DA75DF"/>
    <w:pPr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pacing w:line="240" w:lineRule="auto"/>
    </w:pPr>
    <w:rPr>
      <w:color w:val="FF0000"/>
    </w:rPr>
  </w:style>
  <w:style w:type="paragraph" w:customStyle="1" w:styleId="SectionHead2">
    <w:name w:val="SectionHead2"/>
    <w:basedOn w:val="Heading2"/>
    <w:rsid w:val="00DA75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99419-04C0-453E-93FC-189BD52F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USDOT User</cp:lastModifiedBy>
  <cp:revision>2</cp:revision>
  <dcterms:created xsi:type="dcterms:W3CDTF">2013-04-16T19:13:00Z</dcterms:created>
  <dcterms:modified xsi:type="dcterms:W3CDTF">2013-04-16T19:13:00Z</dcterms:modified>
</cp:coreProperties>
</file>