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3B3FC" w14:textId="4E65EBAE" w:rsidR="00C343E3" w:rsidRPr="000F2859" w:rsidRDefault="00C343E3" w:rsidP="00004EFC">
      <w:pPr>
        <w:pStyle w:val="Heading1"/>
      </w:pPr>
      <w:r w:rsidRPr="000F2859">
        <w:t>R</w:t>
      </w:r>
      <w:r w:rsidR="008056B4" w:rsidRPr="000F2859">
        <w:t>ecord of Specification Revisions</w:t>
      </w:r>
      <w:r w:rsidR="00004EFC">
        <w:br/>
      </w:r>
      <w:r w:rsidRPr="000F2859">
        <w:t>for</w:t>
      </w:r>
      <w:r w:rsidR="00004EFC">
        <w:br/>
      </w:r>
      <w:r w:rsidRPr="000F2859">
        <w:t>Western Federal Land’s Library of Specifications</w:t>
      </w:r>
      <w:r w:rsidR="00004EFC">
        <w:br/>
      </w:r>
      <w:r w:rsidRPr="000F2859">
        <w:t>FP-</w:t>
      </w:r>
      <w:r w:rsidR="00534F2B">
        <w:t>2</w:t>
      </w:r>
      <w:r w:rsidR="0096513F">
        <w:t>4</w:t>
      </w:r>
    </w:p>
    <w:p w14:paraId="695CB0D2" w14:textId="77777777" w:rsidR="00C343E3" w:rsidRPr="000F2859" w:rsidRDefault="00C343E3">
      <w:pPr>
        <w:pStyle w:val="BodyText"/>
      </w:pPr>
      <w:r w:rsidRPr="000F2859">
        <w:t>The following record of revisions to the Library of Specifications (LOS) is offered as a “quick reference” to determine the latest changes to specifications.  While we strive to keep this document current, the best practice is to check each applicable Section of the LOS for updates.</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9" w:type="dxa"/>
          <w:left w:w="72" w:type="dxa"/>
          <w:bottom w:w="29" w:type="dxa"/>
          <w:right w:w="72" w:type="dxa"/>
        </w:tblCellMar>
        <w:tblLook w:val="00A0" w:firstRow="1" w:lastRow="0" w:firstColumn="1" w:lastColumn="0" w:noHBand="0" w:noVBand="0"/>
      </w:tblPr>
      <w:tblGrid>
        <w:gridCol w:w="1695"/>
        <w:gridCol w:w="1387"/>
        <w:gridCol w:w="6248"/>
      </w:tblGrid>
      <w:tr w:rsidR="00C343E3" w:rsidRPr="000F2859" w14:paraId="3D45FFC7" w14:textId="77777777" w:rsidTr="003D22E7">
        <w:trPr>
          <w:cantSplit/>
          <w:trHeight w:val="576"/>
          <w:tblHeader/>
        </w:trPr>
        <w:tc>
          <w:tcPr>
            <w:tcW w:w="1695" w:type="dxa"/>
            <w:tcBorders>
              <w:top w:val="double" w:sz="4" w:space="0" w:color="auto"/>
              <w:left w:val="double" w:sz="4" w:space="0" w:color="auto"/>
              <w:bottom w:val="single" w:sz="6" w:space="0" w:color="000000"/>
            </w:tcBorders>
            <w:vAlign w:val="center"/>
          </w:tcPr>
          <w:p w14:paraId="23F8662C" w14:textId="77777777" w:rsidR="00C343E3" w:rsidRPr="000F2859" w:rsidRDefault="00C343E3" w:rsidP="000F1169">
            <w:pPr>
              <w:pStyle w:val="Heading"/>
            </w:pPr>
            <w:r w:rsidRPr="000F2859">
              <w:t>SPECIFICATION</w:t>
            </w:r>
            <w:r w:rsidR="000F1169">
              <w:t xml:space="preserve"> </w:t>
            </w:r>
            <w:r w:rsidRPr="000F2859">
              <w:t>SECTION</w:t>
            </w:r>
          </w:p>
        </w:tc>
        <w:tc>
          <w:tcPr>
            <w:tcW w:w="1387" w:type="dxa"/>
            <w:tcBorders>
              <w:top w:val="double" w:sz="4" w:space="0" w:color="auto"/>
              <w:bottom w:val="single" w:sz="6" w:space="0" w:color="000000"/>
            </w:tcBorders>
            <w:vAlign w:val="center"/>
          </w:tcPr>
          <w:p w14:paraId="0B745F75" w14:textId="77777777" w:rsidR="00C343E3" w:rsidRPr="000F2859" w:rsidRDefault="00C343E3" w:rsidP="000F1169">
            <w:pPr>
              <w:pStyle w:val="Heading"/>
            </w:pPr>
            <w:r w:rsidRPr="000F2859">
              <w:t>REVISION</w:t>
            </w:r>
            <w:r w:rsidR="000F1169">
              <w:t xml:space="preserve"> </w:t>
            </w:r>
            <w:r w:rsidRPr="000F2859">
              <w:t>DATE</w:t>
            </w:r>
          </w:p>
        </w:tc>
        <w:tc>
          <w:tcPr>
            <w:tcW w:w="6248" w:type="dxa"/>
            <w:tcBorders>
              <w:top w:val="double" w:sz="4" w:space="0" w:color="auto"/>
              <w:bottom w:val="single" w:sz="6" w:space="0" w:color="000000"/>
              <w:right w:val="double" w:sz="4" w:space="0" w:color="auto"/>
            </w:tcBorders>
            <w:vAlign w:val="center"/>
          </w:tcPr>
          <w:p w14:paraId="0A7ECB32" w14:textId="77777777" w:rsidR="00C343E3" w:rsidRPr="000F1169" w:rsidRDefault="00C343E3" w:rsidP="000F1169">
            <w:pPr>
              <w:pStyle w:val="Heading"/>
            </w:pPr>
            <w:r w:rsidRPr="000F1169">
              <w:t>REVISION DESCRIPTION</w:t>
            </w:r>
          </w:p>
        </w:tc>
      </w:tr>
      <w:tr w:rsidR="005B3D92" w:rsidRPr="000F2859" w14:paraId="58C4F5C1" w14:textId="77777777" w:rsidTr="00450104">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5C4B889E" w14:textId="62D07FD5" w:rsidR="005B3D92" w:rsidRPr="000F2859" w:rsidRDefault="002923E0" w:rsidP="00004EFC">
            <w:pPr>
              <w:pStyle w:val="Heading2"/>
              <w:rPr>
                <w:lang w:val="fr-FR"/>
              </w:rPr>
            </w:pPr>
            <w:bookmarkStart w:id="0" w:name="_Hlk179274650"/>
            <w:r>
              <w:rPr>
                <w:lang w:val="fr-FR"/>
              </w:rPr>
              <w:t xml:space="preserve">Notice to </w:t>
            </w:r>
            <w:proofErr w:type="spellStart"/>
            <w:r>
              <w:rPr>
                <w:lang w:val="fr-FR"/>
              </w:rPr>
              <w:t>Bidders</w:t>
            </w:r>
            <w:proofErr w:type="spellEnd"/>
          </w:p>
        </w:tc>
      </w:tr>
      <w:bookmarkEnd w:id="0"/>
      <w:tr w:rsidR="002923E0" w:rsidRPr="000F2859" w14:paraId="1DF88665" w14:textId="77777777" w:rsidTr="00840F5A">
        <w:trPr>
          <w:cantSplit/>
        </w:trPr>
        <w:tc>
          <w:tcPr>
            <w:tcW w:w="1695" w:type="dxa"/>
            <w:tcBorders>
              <w:left w:val="double" w:sz="4" w:space="0" w:color="auto"/>
            </w:tcBorders>
            <w:vAlign w:val="center"/>
          </w:tcPr>
          <w:p w14:paraId="375B7040" w14:textId="408C2A11" w:rsidR="002923E0" w:rsidRDefault="002923E0" w:rsidP="00840F5A">
            <w:pPr>
              <w:rPr>
                <w:rFonts w:cs="Arial"/>
              </w:rPr>
            </w:pPr>
            <w:r>
              <w:rPr>
                <w:rFonts w:cs="Arial"/>
              </w:rPr>
              <w:t>NTB Part II</w:t>
            </w:r>
          </w:p>
        </w:tc>
        <w:tc>
          <w:tcPr>
            <w:tcW w:w="1387" w:type="dxa"/>
            <w:vAlign w:val="center"/>
          </w:tcPr>
          <w:p w14:paraId="49EE2B0E" w14:textId="1EFF9557" w:rsidR="002923E0" w:rsidRDefault="006C48CE" w:rsidP="00840F5A">
            <w:pPr>
              <w:rPr>
                <w:rFonts w:cs="Arial"/>
              </w:rPr>
            </w:pPr>
            <w:r>
              <w:rPr>
                <w:rFonts w:cs="Arial"/>
              </w:rPr>
              <w:t>01 NOV 2024</w:t>
            </w:r>
          </w:p>
        </w:tc>
        <w:tc>
          <w:tcPr>
            <w:tcW w:w="6248" w:type="dxa"/>
            <w:tcBorders>
              <w:right w:val="double" w:sz="4" w:space="0" w:color="auto"/>
            </w:tcBorders>
            <w:vAlign w:val="center"/>
          </w:tcPr>
          <w:p w14:paraId="50F68FD4" w14:textId="71EBB380" w:rsidR="002923E0" w:rsidRDefault="00B979FD" w:rsidP="00840F5A">
            <w:pPr>
              <w:rPr>
                <w:rFonts w:cs="Arial"/>
              </w:rPr>
            </w:pPr>
            <w:r>
              <w:rPr>
                <w:rFonts w:cs="Arial"/>
              </w:rPr>
              <w:t xml:space="preserve">Revised the </w:t>
            </w:r>
            <w:r>
              <w:t xml:space="preserve">Notice for </w:t>
            </w:r>
            <w:r>
              <w:rPr>
                <w:b/>
                <w:bCs/>
              </w:rPr>
              <w:t>HUBZone Small Business Set-Aside</w:t>
            </w:r>
            <w:r>
              <w:t xml:space="preserve"> by deleting the reference to work that is self-performed by the business.</w:t>
            </w:r>
          </w:p>
        </w:tc>
      </w:tr>
      <w:tr w:rsidR="002923E0" w:rsidRPr="000F2859" w14:paraId="56D9F27E" w14:textId="77777777" w:rsidTr="00840F5A">
        <w:trPr>
          <w:cantSplit/>
        </w:trPr>
        <w:tc>
          <w:tcPr>
            <w:tcW w:w="1695" w:type="dxa"/>
            <w:tcBorders>
              <w:left w:val="double" w:sz="4" w:space="0" w:color="auto"/>
            </w:tcBorders>
            <w:vAlign w:val="center"/>
          </w:tcPr>
          <w:p w14:paraId="609B1D16" w14:textId="59377ECF" w:rsidR="002923E0" w:rsidRDefault="002923E0" w:rsidP="00840F5A">
            <w:pPr>
              <w:rPr>
                <w:rFonts w:cs="Arial"/>
              </w:rPr>
            </w:pPr>
            <w:r>
              <w:rPr>
                <w:rFonts w:cs="Arial"/>
              </w:rPr>
              <w:t>NTB Part II</w:t>
            </w:r>
          </w:p>
        </w:tc>
        <w:tc>
          <w:tcPr>
            <w:tcW w:w="1387" w:type="dxa"/>
            <w:vAlign w:val="center"/>
          </w:tcPr>
          <w:p w14:paraId="39B7BA39" w14:textId="0E0338C4" w:rsidR="002923E0" w:rsidRDefault="006C48CE" w:rsidP="00840F5A">
            <w:pPr>
              <w:rPr>
                <w:rFonts w:cs="Arial"/>
              </w:rPr>
            </w:pPr>
            <w:r>
              <w:rPr>
                <w:rFonts w:cs="Arial"/>
              </w:rPr>
              <w:t>01 NOV 2024</w:t>
            </w:r>
          </w:p>
        </w:tc>
        <w:tc>
          <w:tcPr>
            <w:tcW w:w="6248" w:type="dxa"/>
            <w:tcBorders>
              <w:right w:val="double" w:sz="4" w:space="0" w:color="auto"/>
            </w:tcBorders>
            <w:vAlign w:val="center"/>
          </w:tcPr>
          <w:p w14:paraId="586FDF64" w14:textId="25216E86" w:rsidR="002923E0" w:rsidRDefault="00B979FD" w:rsidP="00840F5A">
            <w:pPr>
              <w:rPr>
                <w:rFonts w:cs="Arial"/>
              </w:rPr>
            </w:pPr>
            <w:r>
              <w:rPr>
                <w:rFonts w:cs="Arial"/>
              </w:rPr>
              <w:t xml:space="preserve">Revised the </w:t>
            </w:r>
            <w:r>
              <w:t xml:space="preserve">Notice for </w:t>
            </w:r>
            <w:r>
              <w:rPr>
                <w:b/>
                <w:bCs/>
              </w:rPr>
              <w:t>Price Evaluation Factor</w:t>
            </w:r>
            <w:r>
              <w:t xml:space="preserve"> by deleting the reference to work that is self-performed by the business.</w:t>
            </w:r>
          </w:p>
        </w:tc>
      </w:tr>
      <w:tr w:rsidR="002923E0" w:rsidRPr="000F2859" w14:paraId="3D2F9B39" w14:textId="77777777" w:rsidTr="00450104">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6AE0627F" w14:textId="5CB0E7DE" w:rsidR="002923E0" w:rsidRPr="000F2859" w:rsidRDefault="002923E0" w:rsidP="00004EFC">
            <w:pPr>
              <w:pStyle w:val="Heading2"/>
              <w:rPr>
                <w:lang w:val="fr-FR"/>
              </w:rPr>
            </w:pPr>
            <w:r w:rsidRPr="000F2859">
              <w:rPr>
                <w:lang w:val="fr-FR"/>
              </w:rPr>
              <w:t>DIVISION 100</w:t>
            </w:r>
          </w:p>
        </w:tc>
      </w:tr>
      <w:tr w:rsidR="001C2B52" w:rsidRPr="000F2859" w14:paraId="4B8DCA81" w14:textId="77777777" w:rsidTr="00450104">
        <w:trPr>
          <w:cantSplit/>
        </w:trPr>
        <w:tc>
          <w:tcPr>
            <w:tcW w:w="9330" w:type="dxa"/>
            <w:gridSpan w:val="3"/>
            <w:tcBorders>
              <w:left w:val="double" w:sz="4" w:space="0" w:color="auto"/>
              <w:right w:val="double" w:sz="4" w:space="0" w:color="auto"/>
            </w:tcBorders>
            <w:vAlign w:val="center"/>
          </w:tcPr>
          <w:p w14:paraId="54B8AB3B" w14:textId="071CA11B" w:rsidR="001C2B52" w:rsidRPr="00004EFC" w:rsidRDefault="00D978CA" w:rsidP="00004EFC">
            <w:pPr>
              <w:pStyle w:val="Heading3"/>
            </w:pPr>
            <w:r>
              <w:t>Section 101</w:t>
            </w:r>
            <w:r w:rsidR="00FA0D22">
              <w:t xml:space="preserve"> – Terms, Format, and Definitions</w:t>
            </w:r>
          </w:p>
        </w:tc>
      </w:tr>
      <w:tr w:rsidR="001C2B52" w:rsidRPr="000F2859" w14:paraId="1E8D328A" w14:textId="77777777" w:rsidTr="0018338A">
        <w:trPr>
          <w:cantSplit/>
        </w:trPr>
        <w:tc>
          <w:tcPr>
            <w:tcW w:w="1695" w:type="dxa"/>
            <w:tcBorders>
              <w:left w:val="double" w:sz="4" w:space="0" w:color="auto"/>
            </w:tcBorders>
            <w:vAlign w:val="center"/>
          </w:tcPr>
          <w:p w14:paraId="5FE19955" w14:textId="09DFCCA2" w:rsidR="001C2B52" w:rsidRDefault="001C2B52" w:rsidP="0018338A">
            <w:pPr>
              <w:rPr>
                <w:rFonts w:cs="Arial"/>
              </w:rPr>
            </w:pPr>
            <w:r>
              <w:rPr>
                <w:rFonts w:cs="Arial"/>
              </w:rPr>
              <w:t>10</w:t>
            </w:r>
            <w:r w:rsidR="00FA0D22">
              <w:rPr>
                <w:rFonts w:cs="Arial"/>
              </w:rPr>
              <w:t>1.03</w:t>
            </w:r>
            <w:r w:rsidR="007B1F88">
              <w:rPr>
                <w:rFonts w:cs="Arial"/>
              </w:rPr>
              <w:t>(a)</w:t>
            </w:r>
          </w:p>
        </w:tc>
        <w:tc>
          <w:tcPr>
            <w:tcW w:w="1387" w:type="dxa"/>
            <w:vAlign w:val="center"/>
          </w:tcPr>
          <w:p w14:paraId="6CC43ED2" w14:textId="77777777" w:rsidR="001C2B52" w:rsidRDefault="001C2B52" w:rsidP="0018338A">
            <w:pPr>
              <w:rPr>
                <w:rFonts w:cs="Arial"/>
              </w:rPr>
            </w:pPr>
            <w:r>
              <w:rPr>
                <w:rFonts w:cs="Arial"/>
              </w:rPr>
              <w:t>01 APR 2025</w:t>
            </w:r>
          </w:p>
        </w:tc>
        <w:tc>
          <w:tcPr>
            <w:tcW w:w="6248" w:type="dxa"/>
            <w:tcBorders>
              <w:right w:val="double" w:sz="4" w:space="0" w:color="auto"/>
            </w:tcBorders>
            <w:vAlign w:val="center"/>
          </w:tcPr>
          <w:p w14:paraId="3FAB028A" w14:textId="19924B04" w:rsidR="001C2B52" w:rsidRDefault="007B1F88" w:rsidP="0018338A">
            <w:pPr>
              <w:rPr>
                <w:rFonts w:cs="Arial"/>
              </w:rPr>
            </w:pPr>
            <w:r>
              <w:rPr>
                <w:rFonts w:cs="Arial"/>
              </w:rPr>
              <w:t>Deletes</w:t>
            </w:r>
            <w:r w:rsidR="00A4168A">
              <w:rPr>
                <w:rFonts w:cs="Arial"/>
              </w:rPr>
              <w:t xml:space="preserve"> abbreviations that are not used, or only used in one Section.</w:t>
            </w:r>
          </w:p>
        </w:tc>
      </w:tr>
      <w:tr w:rsidR="00250C25" w:rsidRPr="000F2859" w14:paraId="10F47954" w14:textId="77777777" w:rsidTr="0018338A">
        <w:trPr>
          <w:cantSplit/>
        </w:trPr>
        <w:tc>
          <w:tcPr>
            <w:tcW w:w="1695" w:type="dxa"/>
            <w:tcBorders>
              <w:left w:val="double" w:sz="4" w:space="0" w:color="auto"/>
            </w:tcBorders>
            <w:vAlign w:val="center"/>
          </w:tcPr>
          <w:p w14:paraId="06748A9D" w14:textId="381B0575" w:rsidR="00250C25" w:rsidRDefault="000541D4" w:rsidP="0018338A">
            <w:pPr>
              <w:rPr>
                <w:rFonts w:cs="Arial"/>
              </w:rPr>
            </w:pPr>
            <w:r>
              <w:rPr>
                <w:rFonts w:cs="Arial"/>
              </w:rPr>
              <w:t>101.0</w:t>
            </w:r>
            <w:r w:rsidR="008C1491">
              <w:rPr>
                <w:rFonts w:cs="Arial"/>
              </w:rPr>
              <w:t>4</w:t>
            </w:r>
          </w:p>
        </w:tc>
        <w:tc>
          <w:tcPr>
            <w:tcW w:w="1387" w:type="dxa"/>
            <w:vAlign w:val="center"/>
          </w:tcPr>
          <w:p w14:paraId="3FF662F4" w14:textId="5C4A11A6" w:rsidR="00250C25" w:rsidRDefault="008C1491" w:rsidP="0018338A">
            <w:pPr>
              <w:rPr>
                <w:rFonts w:cs="Arial"/>
              </w:rPr>
            </w:pPr>
            <w:r>
              <w:rPr>
                <w:rFonts w:cs="Arial"/>
              </w:rPr>
              <w:t>01 APR 2025</w:t>
            </w:r>
          </w:p>
        </w:tc>
        <w:tc>
          <w:tcPr>
            <w:tcW w:w="6248" w:type="dxa"/>
            <w:tcBorders>
              <w:right w:val="double" w:sz="4" w:space="0" w:color="auto"/>
            </w:tcBorders>
            <w:vAlign w:val="center"/>
          </w:tcPr>
          <w:p w14:paraId="6A3F1423" w14:textId="2FD27762" w:rsidR="00250C25" w:rsidRDefault="00295F4D" w:rsidP="0018338A">
            <w:pPr>
              <w:rPr>
                <w:rFonts w:cs="Arial"/>
              </w:rPr>
            </w:pPr>
            <w:r>
              <w:rPr>
                <w:rFonts w:cs="Arial"/>
              </w:rPr>
              <w:t xml:space="preserve">Deletes the definition of </w:t>
            </w:r>
            <w:r w:rsidR="00AC6F18">
              <w:rPr>
                <w:rFonts w:cs="Arial"/>
              </w:rPr>
              <w:t xml:space="preserve">(c) </w:t>
            </w:r>
            <w:r>
              <w:rPr>
                <w:rFonts w:cs="Arial"/>
              </w:rPr>
              <w:t xml:space="preserve">Supplemental Agreement under </w:t>
            </w:r>
            <w:r w:rsidR="00AC6F18">
              <w:rPr>
                <w:rFonts w:cs="Arial"/>
              </w:rPr>
              <w:t>the definition of Contract Mo</w:t>
            </w:r>
            <w:r w:rsidR="00A82B89">
              <w:rPr>
                <w:rFonts w:cs="Arial"/>
              </w:rPr>
              <w:t>dification.</w:t>
            </w:r>
          </w:p>
        </w:tc>
      </w:tr>
      <w:tr w:rsidR="00AB0ABE" w:rsidRPr="000F2859" w14:paraId="57195AEE" w14:textId="77777777" w:rsidTr="00450104">
        <w:trPr>
          <w:cantSplit/>
        </w:trPr>
        <w:tc>
          <w:tcPr>
            <w:tcW w:w="9330" w:type="dxa"/>
            <w:gridSpan w:val="3"/>
            <w:tcBorders>
              <w:left w:val="double" w:sz="4" w:space="0" w:color="auto"/>
              <w:right w:val="double" w:sz="4" w:space="0" w:color="auto"/>
            </w:tcBorders>
            <w:vAlign w:val="center"/>
          </w:tcPr>
          <w:p w14:paraId="2252A1E4" w14:textId="5B9EEE42" w:rsidR="00AB0ABE" w:rsidRPr="00004EFC" w:rsidRDefault="006C6EB9" w:rsidP="00004EFC">
            <w:pPr>
              <w:pStyle w:val="Heading3"/>
            </w:pPr>
            <w:r>
              <w:t>Section 102</w:t>
            </w:r>
            <w:r w:rsidR="00CE4B12">
              <w:t xml:space="preserve"> – Bid, Awar</w:t>
            </w:r>
            <w:r w:rsidR="00844E62">
              <w:t>d</w:t>
            </w:r>
            <w:r w:rsidR="00CE4B12">
              <w:t>, and Execution of Contract</w:t>
            </w:r>
          </w:p>
        </w:tc>
      </w:tr>
      <w:tr w:rsidR="00AB0ABE" w:rsidRPr="000F2859" w14:paraId="355BEE46" w14:textId="77777777" w:rsidTr="0018338A">
        <w:trPr>
          <w:cantSplit/>
        </w:trPr>
        <w:tc>
          <w:tcPr>
            <w:tcW w:w="1695" w:type="dxa"/>
            <w:tcBorders>
              <w:left w:val="double" w:sz="4" w:space="0" w:color="auto"/>
            </w:tcBorders>
            <w:vAlign w:val="center"/>
          </w:tcPr>
          <w:p w14:paraId="4E3052EE" w14:textId="7BC0CB87" w:rsidR="00AB0ABE" w:rsidRDefault="00AB0ABE" w:rsidP="0018338A">
            <w:pPr>
              <w:rPr>
                <w:rFonts w:cs="Arial"/>
              </w:rPr>
            </w:pPr>
            <w:r>
              <w:rPr>
                <w:rFonts w:cs="Arial"/>
              </w:rPr>
              <w:t>10</w:t>
            </w:r>
            <w:r w:rsidR="000A36EE">
              <w:rPr>
                <w:rFonts w:cs="Arial"/>
              </w:rPr>
              <w:t>2.02</w:t>
            </w:r>
          </w:p>
        </w:tc>
        <w:tc>
          <w:tcPr>
            <w:tcW w:w="1387" w:type="dxa"/>
            <w:vAlign w:val="center"/>
          </w:tcPr>
          <w:p w14:paraId="2EEA5532" w14:textId="77777777" w:rsidR="00AB0ABE" w:rsidRDefault="00AB0ABE" w:rsidP="0018338A">
            <w:pPr>
              <w:rPr>
                <w:rFonts w:cs="Arial"/>
              </w:rPr>
            </w:pPr>
            <w:r>
              <w:rPr>
                <w:rFonts w:cs="Arial"/>
              </w:rPr>
              <w:t>01 APR 2025</w:t>
            </w:r>
          </w:p>
        </w:tc>
        <w:tc>
          <w:tcPr>
            <w:tcW w:w="6248" w:type="dxa"/>
            <w:tcBorders>
              <w:right w:val="double" w:sz="4" w:space="0" w:color="auto"/>
            </w:tcBorders>
            <w:vAlign w:val="center"/>
          </w:tcPr>
          <w:p w14:paraId="6ED325BE" w14:textId="32C01C82" w:rsidR="00AB0ABE" w:rsidRDefault="000A36EE" w:rsidP="0018338A">
            <w:pPr>
              <w:rPr>
                <w:rFonts w:cs="Arial"/>
              </w:rPr>
            </w:pPr>
            <w:r>
              <w:rPr>
                <w:rFonts w:cs="Arial"/>
              </w:rPr>
              <w:t>Adds SCR for preparation of offers</w:t>
            </w:r>
            <w:r w:rsidR="0049146C">
              <w:rPr>
                <w:rFonts w:cs="Arial"/>
              </w:rPr>
              <w:t xml:space="preserve"> for MATOC projects where the selection of the successful offeror is based on lowest price.</w:t>
            </w:r>
          </w:p>
        </w:tc>
      </w:tr>
      <w:tr w:rsidR="00994011" w:rsidRPr="000F2859" w14:paraId="4D154AA1" w14:textId="77777777" w:rsidTr="00450104">
        <w:trPr>
          <w:cantSplit/>
        </w:trPr>
        <w:tc>
          <w:tcPr>
            <w:tcW w:w="9330" w:type="dxa"/>
            <w:gridSpan w:val="3"/>
            <w:tcBorders>
              <w:left w:val="double" w:sz="4" w:space="0" w:color="auto"/>
              <w:right w:val="double" w:sz="4" w:space="0" w:color="auto"/>
            </w:tcBorders>
            <w:vAlign w:val="center"/>
          </w:tcPr>
          <w:p w14:paraId="158FEA1E" w14:textId="748F8615" w:rsidR="00994011" w:rsidRPr="000F2859" w:rsidRDefault="00994011" w:rsidP="00004EFC">
            <w:pPr>
              <w:pStyle w:val="Heading3"/>
            </w:pPr>
            <w:bookmarkStart w:id="1" w:name="_Hlk178857084"/>
            <w:r w:rsidRPr="00004EFC">
              <w:t>Section</w:t>
            </w:r>
            <w:r>
              <w:t xml:space="preserve"> 104</w:t>
            </w:r>
            <w:r w:rsidR="00AE1EDE">
              <w:t xml:space="preserve"> -</w:t>
            </w:r>
            <w:r w:rsidRPr="000F2859">
              <w:t xml:space="preserve"> </w:t>
            </w:r>
            <w:r w:rsidRPr="00004EFC">
              <w:t>Control</w:t>
            </w:r>
            <w:r w:rsidRPr="000F2859">
              <w:t xml:space="preserve"> of Work</w:t>
            </w:r>
          </w:p>
        </w:tc>
      </w:tr>
      <w:tr w:rsidR="00C82FEE" w:rsidRPr="000F2859" w14:paraId="06933590" w14:textId="77777777" w:rsidTr="003D22E7">
        <w:trPr>
          <w:cantSplit/>
        </w:trPr>
        <w:tc>
          <w:tcPr>
            <w:tcW w:w="1695" w:type="dxa"/>
            <w:tcBorders>
              <w:left w:val="double" w:sz="4" w:space="0" w:color="auto"/>
            </w:tcBorders>
            <w:vAlign w:val="center"/>
          </w:tcPr>
          <w:p w14:paraId="7D9EF567" w14:textId="7C727006" w:rsidR="00C82FEE" w:rsidRDefault="004C76BD" w:rsidP="00E03FE1">
            <w:pPr>
              <w:rPr>
                <w:rFonts w:cs="Arial"/>
              </w:rPr>
            </w:pPr>
            <w:bookmarkStart w:id="2" w:name="_Hlk192833152"/>
            <w:bookmarkStart w:id="3" w:name="_Hlk178856552"/>
            <w:bookmarkEnd w:id="1"/>
            <w:r>
              <w:rPr>
                <w:rFonts w:cs="Arial"/>
              </w:rPr>
              <w:t>104.06</w:t>
            </w:r>
            <w:r w:rsidR="00D0399B">
              <w:rPr>
                <w:rFonts w:cs="Arial"/>
              </w:rPr>
              <w:t>(b)(2)</w:t>
            </w:r>
            <w:r w:rsidR="00D0399B" w:rsidRPr="004C76BD">
              <w:rPr>
                <w:rFonts w:cs="Arial"/>
                <w:i/>
                <w:iCs/>
              </w:rPr>
              <w:t>(l)</w:t>
            </w:r>
          </w:p>
        </w:tc>
        <w:tc>
          <w:tcPr>
            <w:tcW w:w="1387" w:type="dxa"/>
            <w:vAlign w:val="center"/>
          </w:tcPr>
          <w:p w14:paraId="56397DA8" w14:textId="7BDE5231" w:rsidR="00C82FEE" w:rsidRDefault="004C76BD" w:rsidP="00E03FE1">
            <w:pPr>
              <w:rPr>
                <w:rFonts w:cs="Arial"/>
              </w:rPr>
            </w:pPr>
            <w:r>
              <w:rPr>
                <w:rFonts w:cs="Arial"/>
              </w:rPr>
              <w:t>01 APR 2025</w:t>
            </w:r>
          </w:p>
        </w:tc>
        <w:tc>
          <w:tcPr>
            <w:tcW w:w="6248" w:type="dxa"/>
            <w:tcBorders>
              <w:right w:val="double" w:sz="4" w:space="0" w:color="auto"/>
            </w:tcBorders>
            <w:vAlign w:val="center"/>
          </w:tcPr>
          <w:p w14:paraId="76967F01" w14:textId="154EA727" w:rsidR="00C82FEE" w:rsidRDefault="005A7FC8" w:rsidP="009728F7">
            <w:pPr>
              <w:rPr>
                <w:rFonts w:cs="Arial"/>
              </w:rPr>
            </w:pPr>
            <w:r>
              <w:rPr>
                <w:rFonts w:cs="Arial"/>
              </w:rPr>
              <w:t xml:space="preserve">Corrects </w:t>
            </w:r>
            <w:r w:rsidR="00844E62">
              <w:rPr>
                <w:rFonts w:cs="Arial"/>
              </w:rPr>
              <w:t xml:space="preserve">LOS </w:t>
            </w:r>
            <w:r>
              <w:rPr>
                <w:rFonts w:cs="Arial"/>
              </w:rPr>
              <w:t>error</w:t>
            </w:r>
            <w:r w:rsidR="00FB49C3">
              <w:rPr>
                <w:rFonts w:cs="Arial"/>
              </w:rPr>
              <w:t xml:space="preserve"> </w:t>
            </w:r>
            <w:r w:rsidR="00C6308E">
              <w:rPr>
                <w:rFonts w:cs="Arial"/>
              </w:rPr>
              <w:t xml:space="preserve">in Subsection numbering for </w:t>
            </w:r>
            <w:r w:rsidR="006F46C4">
              <w:rPr>
                <w:rFonts w:cs="Arial"/>
              </w:rPr>
              <w:t xml:space="preserve">concrete box culvert </w:t>
            </w:r>
            <w:r w:rsidR="004C76BD">
              <w:rPr>
                <w:rFonts w:cs="Arial"/>
              </w:rPr>
              <w:t>details.</w:t>
            </w:r>
          </w:p>
        </w:tc>
      </w:tr>
      <w:bookmarkEnd w:id="2"/>
      <w:tr w:rsidR="005D0E3D" w:rsidRPr="000F2859" w14:paraId="063ACCA3" w14:textId="77777777" w:rsidTr="006929CB">
        <w:trPr>
          <w:cantSplit/>
        </w:trPr>
        <w:tc>
          <w:tcPr>
            <w:tcW w:w="9330" w:type="dxa"/>
            <w:gridSpan w:val="3"/>
            <w:tcBorders>
              <w:left w:val="double" w:sz="4" w:space="0" w:color="auto"/>
              <w:right w:val="double" w:sz="4" w:space="0" w:color="auto"/>
            </w:tcBorders>
            <w:vAlign w:val="center"/>
          </w:tcPr>
          <w:p w14:paraId="25B40544" w14:textId="5AAD6900" w:rsidR="005D0E3D" w:rsidRPr="000F2859" w:rsidRDefault="005D0E3D" w:rsidP="006929CB">
            <w:pPr>
              <w:pStyle w:val="Heading3"/>
            </w:pPr>
            <w:r w:rsidRPr="000F2859">
              <w:t>Section 10</w:t>
            </w:r>
            <w:r>
              <w:t>5</w:t>
            </w:r>
            <w:r w:rsidRPr="000F2859">
              <w:t xml:space="preserve"> </w:t>
            </w:r>
            <w:r>
              <w:t>–</w:t>
            </w:r>
            <w:r w:rsidRPr="000F2859">
              <w:t xml:space="preserve"> </w:t>
            </w:r>
            <w:r>
              <w:t xml:space="preserve">Control of </w:t>
            </w:r>
            <w:r w:rsidR="006E2588">
              <w:t>Material</w:t>
            </w:r>
          </w:p>
        </w:tc>
      </w:tr>
      <w:tr w:rsidR="005D0E3D" w:rsidRPr="000F2859" w14:paraId="5C73E638" w14:textId="77777777" w:rsidTr="006929CB">
        <w:trPr>
          <w:cantSplit/>
        </w:trPr>
        <w:tc>
          <w:tcPr>
            <w:tcW w:w="1695" w:type="dxa"/>
            <w:tcBorders>
              <w:left w:val="double" w:sz="4" w:space="0" w:color="auto"/>
            </w:tcBorders>
            <w:vAlign w:val="center"/>
          </w:tcPr>
          <w:p w14:paraId="4054B94D" w14:textId="1B0C6383" w:rsidR="005D0E3D" w:rsidRDefault="006E2588" w:rsidP="006929CB">
            <w:pPr>
              <w:rPr>
                <w:rFonts w:cs="Arial"/>
              </w:rPr>
            </w:pPr>
            <w:r>
              <w:rPr>
                <w:rFonts w:cs="Arial"/>
              </w:rPr>
              <w:t>105.02(a)</w:t>
            </w:r>
          </w:p>
        </w:tc>
        <w:tc>
          <w:tcPr>
            <w:tcW w:w="1387" w:type="dxa"/>
            <w:vAlign w:val="center"/>
          </w:tcPr>
          <w:p w14:paraId="0D5582DC" w14:textId="77777777" w:rsidR="005D0E3D" w:rsidRDefault="005D0E3D" w:rsidP="006929CB">
            <w:pPr>
              <w:rPr>
                <w:rFonts w:cs="Arial"/>
              </w:rPr>
            </w:pPr>
            <w:r>
              <w:rPr>
                <w:rFonts w:cs="Arial"/>
              </w:rPr>
              <w:t>01 APR 2025</w:t>
            </w:r>
          </w:p>
        </w:tc>
        <w:tc>
          <w:tcPr>
            <w:tcW w:w="6248" w:type="dxa"/>
            <w:tcBorders>
              <w:right w:val="double" w:sz="4" w:space="0" w:color="auto"/>
            </w:tcBorders>
            <w:vAlign w:val="center"/>
          </w:tcPr>
          <w:p w14:paraId="2489FB21" w14:textId="7AA4EA5F" w:rsidR="005D0E3D" w:rsidRDefault="005D0E3D" w:rsidP="006929CB">
            <w:pPr>
              <w:rPr>
                <w:rFonts w:cs="Arial"/>
              </w:rPr>
            </w:pPr>
            <w:r>
              <w:rPr>
                <w:rFonts w:cs="Arial"/>
              </w:rPr>
              <w:t xml:space="preserve">Corrects LOS error in Subsection numbering for </w:t>
            </w:r>
            <w:r w:rsidR="00537E95">
              <w:rPr>
                <w:rFonts w:cs="Arial"/>
              </w:rPr>
              <w:t>Government-furnished sources.</w:t>
            </w:r>
          </w:p>
        </w:tc>
      </w:tr>
      <w:bookmarkEnd w:id="3"/>
      <w:tr w:rsidR="00744FB1" w:rsidRPr="000F2859" w14:paraId="777D9F7C" w14:textId="77777777" w:rsidTr="00450104">
        <w:trPr>
          <w:cantSplit/>
        </w:trPr>
        <w:tc>
          <w:tcPr>
            <w:tcW w:w="9330" w:type="dxa"/>
            <w:gridSpan w:val="3"/>
            <w:tcBorders>
              <w:left w:val="double" w:sz="4" w:space="0" w:color="auto"/>
              <w:right w:val="double" w:sz="4" w:space="0" w:color="auto"/>
            </w:tcBorders>
            <w:vAlign w:val="center"/>
          </w:tcPr>
          <w:p w14:paraId="6AD138D1" w14:textId="61874E20" w:rsidR="00744FB1" w:rsidRPr="000F2859" w:rsidRDefault="00744FB1" w:rsidP="00004EFC">
            <w:pPr>
              <w:pStyle w:val="Heading3"/>
            </w:pPr>
            <w:r w:rsidRPr="000F2859">
              <w:t xml:space="preserve">Section 106 </w:t>
            </w:r>
            <w:r w:rsidR="00AE1EDE">
              <w:t>-</w:t>
            </w:r>
            <w:r w:rsidRPr="000F2859">
              <w:t xml:space="preserve"> Acceptance of Work</w:t>
            </w:r>
          </w:p>
        </w:tc>
      </w:tr>
      <w:tr w:rsidR="00BD53FB" w:rsidRPr="000F2859" w14:paraId="33615C83" w14:textId="77777777" w:rsidTr="003D22E7">
        <w:trPr>
          <w:cantSplit/>
        </w:trPr>
        <w:tc>
          <w:tcPr>
            <w:tcW w:w="1695" w:type="dxa"/>
            <w:tcBorders>
              <w:left w:val="double" w:sz="4" w:space="0" w:color="auto"/>
            </w:tcBorders>
            <w:vAlign w:val="center"/>
          </w:tcPr>
          <w:p w14:paraId="619F9552" w14:textId="68FAFBD9" w:rsidR="00BD53FB" w:rsidRDefault="00BD53FB" w:rsidP="0003026D">
            <w:pPr>
              <w:rPr>
                <w:rFonts w:cs="Arial"/>
              </w:rPr>
            </w:pPr>
            <w:bookmarkStart w:id="4" w:name="_Hlk178149298"/>
            <w:r>
              <w:rPr>
                <w:rFonts w:cs="Arial"/>
              </w:rPr>
              <w:t>106.01</w:t>
            </w:r>
          </w:p>
        </w:tc>
        <w:tc>
          <w:tcPr>
            <w:tcW w:w="1387" w:type="dxa"/>
            <w:vAlign w:val="center"/>
          </w:tcPr>
          <w:p w14:paraId="423057A9" w14:textId="31D3E9B9" w:rsidR="00BD53FB" w:rsidRDefault="003D22E7" w:rsidP="0003026D">
            <w:pPr>
              <w:rPr>
                <w:rFonts w:cs="Arial"/>
              </w:rPr>
            </w:pPr>
            <w:r>
              <w:rPr>
                <w:rFonts w:cs="Arial"/>
              </w:rPr>
              <w:t>01 JUL 2024</w:t>
            </w:r>
          </w:p>
        </w:tc>
        <w:tc>
          <w:tcPr>
            <w:tcW w:w="6248" w:type="dxa"/>
            <w:tcBorders>
              <w:right w:val="double" w:sz="4" w:space="0" w:color="auto"/>
            </w:tcBorders>
            <w:vAlign w:val="center"/>
          </w:tcPr>
          <w:p w14:paraId="539FC54F" w14:textId="4FA6EC50" w:rsidR="00BD53FB" w:rsidRDefault="00BD53FB" w:rsidP="009E251F">
            <w:pPr>
              <w:pStyle w:val="ListParagraph"/>
              <w:ind w:left="0"/>
              <w:rPr>
                <w:rFonts w:cs="Arial"/>
              </w:rPr>
            </w:pPr>
            <w:r>
              <w:rPr>
                <w:rFonts w:cs="Arial"/>
              </w:rPr>
              <w:t xml:space="preserve">Added 2009 MUTCD to referenced standards. </w:t>
            </w:r>
            <w:r>
              <w:t>This is an interim solution until we are ready to begin using the new version</w:t>
            </w:r>
            <w:r w:rsidR="00611635">
              <w:t xml:space="preserve"> of the MUTCD</w:t>
            </w:r>
            <w:r>
              <w:t>.</w:t>
            </w:r>
          </w:p>
        </w:tc>
      </w:tr>
      <w:tr w:rsidR="00AE1EDE" w:rsidRPr="00EE4E8D" w14:paraId="635E9920" w14:textId="77777777" w:rsidTr="00450104">
        <w:trPr>
          <w:cantSplit/>
        </w:trPr>
        <w:tc>
          <w:tcPr>
            <w:tcW w:w="9330" w:type="dxa"/>
            <w:gridSpan w:val="3"/>
            <w:tcBorders>
              <w:left w:val="double" w:sz="4" w:space="0" w:color="auto"/>
              <w:right w:val="double" w:sz="4" w:space="0" w:color="auto"/>
            </w:tcBorders>
            <w:vAlign w:val="center"/>
          </w:tcPr>
          <w:p w14:paraId="25C7218B" w14:textId="11DF9A3D" w:rsidR="00AE1EDE" w:rsidRDefault="00AE1EDE" w:rsidP="000337FA">
            <w:pPr>
              <w:pStyle w:val="Heading3"/>
            </w:pPr>
            <w:bookmarkStart w:id="5" w:name="_Hlk178161633"/>
            <w:bookmarkEnd w:id="4"/>
            <w:r>
              <w:t>Section 107 – Legal Relations and Responsibility to the Public</w:t>
            </w:r>
          </w:p>
        </w:tc>
      </w:tr>
      <w:tr w:rsidR="00E87622" w:rsidRPr="000F2859" w14:paraId="5347EAAB" w14:textId="77777777" w:rsidTr="003D22E7">
        <w:trPr>
          <w:cantSplit/>
        </w:trPr>
        <w:tc>
          <w:tcPr>
            <w:tcW w:w="1695" w:type="dxa"/>
            <w:tcBorders>
              <w:left w:val="double" w:sz="4" w:space="0" w:color="auto"/>
            </w:tcBorders>
            <w:vAlign w:val="center"/>
          </w:tcPr>
          <w:p w14:paraId="424269D2" w14:textId="4EE99C3C" w:rsidR="00E87622" w:rsidRDefault="00E87622" w:rsidP="00C30FF0">
            <w:pPr>
              <w:rPr>
                <w:rFonts w:cs="Arial"/>
              </w:rPr>
            </w:pPr>
            <w:r>
              <w:rPr>
                <w:rFonts w:cs="Arial"/>
              </w:rPr>
              <w:t>107.01A(c)</w:t>
            </w:r>
          </w:p>
        </w:tc>
        <w:tc>
          <w:tcPr>
            <w:tcW w:w="1387" w:type="dxa"/>
            <w:vAlign w:val="center"/>
          </w:tcPr>
          <w:p w14:paraId="08E26D9E" w14:textId="63F03BFF" w:rsidR="00E87622" w:rsidRDefault="00E87622" w:rsidP="00C30FF0">
            <w:pPr>
              <w:rPr>
                <w:rFonts w:cs="Arial"/>
              </w:rPr>
            </w:pPr>
            <w:r>
              <w:rPr>
                <w:rFonts w:cs="Arial"/>
              </w:rPr>
              <w:t>01 NOV 2024</w:t>
            </w:r>
          </w:p>
        </w:tc>
        <w:tc>
          <w:tcPr>
            <w:tcW w:w="6248" w:type="dxa"/>
            <w:tcBorders>
              <w:right w:val="double" w:sz="4" w:space="0" w:color="auto"/>
            </w:tcBorders>
            <w:vAlign w:val="center"/>
          </w:tcPr>
          <w:p w14:paraId="7193EF15" w14:textId="3E69B548" w:rsidR="00E87622" w:rsidRPr="00C0005C" w:rsidRDefault="00E87622" w:rsidP="00C30FF0">
            <w:pPr>
              <w:pStyle w:val="ListParagraph"/>
              <w:ind w:left="0"/>
              <w:rPr>
                <w:rFonts w:cs="Arial"/>
              </w:rPr>
            </w:pPr>
            <w:r>
              <w:rPr>
                <w:rFonts w:cs="Arial"/>
              </w:rPr>
              <w:t xml:space="preserve">CASE 3: Corrects a </w:t>
            </w:r>
            <w:r w:rsidR="003D207C">
              <w:rPr>
                <w:rFonts w:cs="Arial"/>
              </w:rPr>
              <w:t>formatting</w:t>
            </w:r>
            <w:r>
              <w:rPr>
                <w:rFonts w:cs="Arial"/>
              </w:rPr>
              <w:t xml:space="preserve"> error in Public Notice sign requirements.</w:t>
            </w:r>
          </w:p>
        </w:tc>
      </w:tr>
      <w:bookmarkEnd w:id="5"/>
      <w:tr w:rsidR="00AE1EDE" w:rsidRPr="000F2859" w14:paraId="6FFE80CB" w14:textId="77777777" w:rsidTr="003D22E7">
        <w:trPr>
          <w:cantSplit/>
        </w:trPr>
        <w:tc>
          <w:tcPr>
            <w:tcW w:w="1695" w:type="dxa"/>
            <w:tcBorders>
              <w:left w:val="double" w:sz="4" w:space="0" w:color="auto"/>
            </w:tcBorders>
            <w:vAlign w:val="center"/>
          </w:tcPr>
          <w:p w14:paraId="05B13E25" w14:textId="73E37CE4" w:rsidR="00AE1EDE" w:rsidRDefault="00AE1EDE" w:rsidP="00C30FF0">
            <w:pPr>
              <w:rPr>
                <w:rFonts w:cs="Arial"/>
              </w:rPr>
            </w:pPr>
            <w:r>
              <w:rPr>
                <w:rFonts w:cs="Arial"/>
              </w:rPr>
              <w:t>107.10(c)</w:t>
            </w:r>
          </w:p>
        </w:tc>
        <w:tc>
          <w:tcPr>
            <w:tcW w:w="1387" w:type="dxa"/>
            <w:vAlign w:val="center"/>
          </w:tcPr>
          <w:p w14:paraId="7BA9CCDB" w14:textId="5DFFD930" w:rsidR="00AE1EDE" w:rsidRDefault="003D22E7" w:rsidP="00C30FF0">
            <w:pPr>
              <w:rPr>
                <w:rFonts w:cs="Arial"/>
              </w:rPr>
            </w:pPr>
            <w:r>
              <w:rPr>
                <w:rFonts w:cs="Arial"/>
              </w:rPr>
              <w:t>01 NOV 2024</w:t>
            </w:r>
          </w:p>
        </w:tc>
        <w:tc>
          <w:tcPr>
            <w:tcW w:w="6248" w:type="dxa"/>
            <w:tcBorders>
              <w:right w:val="double" w:sz="4" w:space="0" w:color="auto"/>
            </w:tcBorders>
            <w:vAlign w:val="center"/>
          </w:tcPr>
          <w:p w14:paraId="3C24EF56" w14:textId="2893830A" w:rsidR="00AE1EDE" w:rsidRDefault="003D207C" w:rsidP="00C30FF0">
            <w:pPr>
              <w:pStyle w:val="ListParagraph"/>
              <w:ind w:left="0"/>
              <w:rPr>
                <w:rFonts w:cs="Arial"/>
              </w:rPr>
            </w:pPr>
            <w:r>
              <w:rPr>
                <w:rFonts w:cs="Arial"/>
              </w:rPr>
              <w:t xml:space="preserve">CASE </w:t>
            </w:r>
            <w:r w:rsidR="00F80C71">
              <w:rPr>
                <w:rFonts w:cs="Arial"/>
              </w:rPr>
              <w:t>1</w:t>
            </w:r>
            <w:r>
              <w:rPr>
                <w:rFonts w:cs="Arial"/>
              </w:rPr>
              <w:t xml:space="preserve">: </w:t>
            </w:r>
            <w:r w:rsidR="00C0005C" w:rsidRPr="00C0005C">
              <w:rPr>
                <w:rFonts w:cs="Arial"/>
              </w:rPr>
              <w:t>This change corrects an error in the LOS.  CASE 1 is now revised to match the existing requirements of Subsection 107.01 (d) Sites outside construction limits in CASES 2 through 7.</w:t>
            </w:r>
          </w:p>
        </w:tc>
      </w:tr>
      <w:tr w:rsidR="00433208" w:rsidRPr="000F2859" w14:paraId="40FF4E90" w14:textId="77777777" w:rsidTr="003D22E7">
        <w:trPr>
          <w:cantSplit/>
        </w:trPr>
        <w:tc>
          <w:tcPr>
            <w:tcW w:w="1695" w:type="dxa"/>
            <w:tcBorders>
              <w:left w:val="double" w:sz="4" w:space="0" w:color="auto"/>
            </w:tcBorders>
            <w:vAlign w:val="center"/>
          </w:tcPr>
          <w:p w14:paraId="63EF6E03" w14:textId="6F9B2F39" w:rsidR="00433208" w:rsidRDefault="00433208" w:rsidP="00C30FF0">
            <w:pPr>
              <w:rPr>
                <w:rFonts w:cs="Arial"/>
              </w:rPr>
            </w:pPr>
            <w:bookmarkStart w:id="6" w:name="_Hlk178857285"/>
            <w:r>
              <w:rPr>
                <w:rFonts w:cs="Arial"/>
              </w:rPr>
              <w:t>107.10(e)</w:t>
            </w:r>
          </w:p>
        </w:tc>
        <w:tc>
          <w:tcPr>
            <w:tcW w:w="1387" w:type="dxa"/>
            <w:vAlign w:val="center"/>
          </w:tcPr>
          <w:p w14:paraId="735C5DD3" w14:textId="013968CF" w:rsidR="00433208" w:rsidRDefault="003D22E7" w:rsidP="00C30FF0">
            <w:pPr>
              <w:rPr>
                <w:rFonts w:cs="Arial"/>
              </w:rPr>
            </w:pPr>
            <w:r>
              <w:rPr>
                <w:rFonts w:cs="Arial"/>
              </w:rPr>
              <w:t>01 NOV 2024</w:t>
            </w:r>
          </w:p>
        </w:tc>
        <w:tc>
          <w:tcPr>
            <w:tcW w:w="6248" w:type="dxa"/>
            <w:tcBorders>
              <w:right w:val="double" w:sz="4" w:space="0" w:color="auto"/>
            </w:tcBorders>
            <w:vAlign w:val="center"/>
          </w:tcPr>
          <w:p w14:paraId="398867B5" w14:textId="29117F9B" w:rsidR="00433208" w:rsidRPr="00C0005C" w:rsidRDefault="00433208" w:rsidP="00C30FF0">
            <w:pPr>
              <w:pStyle w:val="ListParagraph"/>
              <w:ind w:left="0"/>
              <w:rPr>
                <w:rFonts w:cs="Arial"/>
              </w:rPr>
            </w:pPr>
            <w:r w:rsidRPr="00433208">
              <w:rPr>
                <w:rFonts w:cs="Arial"/>
              </w:rPr>
              <w:t>ALL CASES are revised to delete “as appropriate” from the requirement to dispose of trash from the project.  This change is a result of Legal reviews of PS&amp;E.</w:t>
            </w:r>
          </w:p>
        </w:tc>
      </w:tr>
      <w:bookmarkEnd w:id="6"/>
      <w:tr w:rsidR="00116D6B" w:rsidRPr="00EE4E8D" w14:paraId="3709683C" w14:textId="77777777" w:rsidTr="00C30FF0">
        <w:trPr>
          <w:cantSplit/>
        </w:trPr>
        <w:tc>
          <w:tcPr>
            <w:tcW w:w="9330" w:type="dxa"/>
            <w:gridSpan w:val="3"/>
            <w:tcBorders>
              <w:left w:val="double" w:sz="4" w:space="0" w:color="auto"/>
              <w:right w:val="double" w:sz="4" w:space="0" w:color="auto"/>
            </w:tcBorders>
          </w:tcPr>
          <w:p w14:paraId="15213C0C" w14:textId="19488FAF" w:rsidR="00116D6B" w:rsidRDefault="00116D6B" w:rsidP="00116D6B">
            <w:pPr>
              <w:pStyle w:val="Heading3"/>
            </w:pPr>
            <w:r w:rsidRPr="006A192A">
              <w:lastRenderedPageBreak/>
              <w:t>Section 10</w:t>
            </w:r>
            <w:r>
              <w:t>8 – Prosecution and Progress</w:t>
            </w:r>
          </w:p>
        </w:tc>
      </w:tr>
      <w:tr w:rsidR="00116D6B" w:rsidRPr="000F2859" w14:paraId="7ED72C0D" w14:textId="77777777" w:rsidTr="00840F5A">
        <w:trPr>
          <w:cantSplit/>
        </w:trPr>
        <w:tc>
          <w:tcPr>
            <w:tcW w:w="1695" w:type="dxa"/>
            <w:tcBorders>
              <w:left w:val="double" w:sz="4" w:space="0" w:color="auto"/>
            </w:tcBorders>
            <w:vAlign w:val="center"/>
          </w:tcPr>
          <w:p w14:paraId="61C891B3" w14:textId="54F63692" w:rsidR="00116D6B" w:rsidRDefault="00116D6B" w:rsidP="00840F5A">
            <w:pPr>
              <w:rPr>
                <w:rFonts w:cs="Arial"/>
              </w:rPr>
            </w:pPr>
            <w:r>
              <w:rPr>
                <w:rFonts w:cs="Arial"/>
              </w:rPr>
              <w:t>108.0</w:t>
            </w:r>
            <w:r w:rsidR="004A41A8">
              <w:rPr>
                <w:rFonts w:cs="Arial"/>
              </w:rPr>
              <w:t>3</w:t>
            </w:r>
          </w:p>
        </w:tc>
        <w:tc>
          <w:tcPr>
            <w:tcW w:w="1387" w:type="dxa"/>
            <w:vAlign w:val="center"/>
          </w:tcPr>
          <w:p w14:paraId="668A5E0F" w14:textId="77777777" w:rsidR="00116D6B" w:rsidRDefault="00116D6B" w:rsidP="00840F5A">
            <w:pPr>
              <w:rPr>
                <w:rFonts w:cs="Arial"/>
              </w:rPr>
            </w:pPr>
            <w:r>
              <w:rPr>
                <w:rFonts w:cs="Arial"/>
              </w:rPr>
              <w:t>01 NOV 2024</w:t>
            </w:r>
          </w:p>
        </w:tc>
        <w:tc>
          <w:tcPr>
            <w:tcW w:w="6248" w:type="dxa"/>
            <w:tcBorders>
              <w:right w:val="double" w:sz="4" w:space="0" w:color="auto"/>
            </w:tcBorders>
            <w:vAlign w:val="center"/>
          </w:tcPr>
          <w:p w14:paraId="65476413" w14:textId="565D4C3C" w:rsidR="00116D6B" w:rsidRPr="00C0005C" w:rsidRDefault="00DC2823" w:rsidP="00840F5A">
            <w:pPr>
              <w:pStyle w:val="ListParagraph"/>
              <w:ind w:left="0"/>
              <w:rPr>
                <w:rFonts w:cs="Arial"/>
              </w:rPr>
            </w:pPr>
            <w:r>
              <w:rPr>
                <w:rFonts w:cs="Arial"/>
              </w:rPr>
              <w:t xml:space="preserve">Deleted the SCR for Full and Open projects. </w:t>
            </w:r>
            <w:r>
              <w:t>There is no longer a self-performance requirement in that FAR clause.</w:t>
            </w:r>
          </w:p>
        </w:tc>
      </w:tr>
      <w:tr w:rsidR="00DC2823" w:rsidRPr="000F2859" w14:paraId="28B640C1" w14:textId="77777777" w:rsidTr="00840F5A">
        <w:trPr>
          <w:cantSplit/>
        </w:trPr>
        <w:tc>
          <w:tcPr>
            <w:tcW w:w="1695" w:type="dxa"/>
            <w:tcBorders>
              <w:left w:val="double" w:sz="4" w:space="0" w:color="auto"/>
            </w:tcBorders>
            <w:vAlign w:val="center"/>
          </w:tcPr>
          <w:p w14:paraId="3F2F69C0" w14:textId="049868C4" w:rsidR="00DC2823" w:rsidRDefault="00DC2823" w:rsidP="00840F5A">
            <w:pPr>
              <w:rPr>
                <w:rFonts w:cs="Arial"/>
              </w:rPr>
            </w:pPr>
            <w:r>
              <w:rPr>
                <w:rFonts w:cs="Arial"/>
              </w:rPr>
              <w:t>108.0</w:t>
            </w:r>
            <w:r w:rsidR="004A41A8">
              <w:rPr>
                <w:rFonts w:cs="Arial"/>
              </w:rPr>
              <w:t>3</w:t>
            </w:r>
          </w:p>
        </w:tc>
        <w:tc>
          <w:tcPr>
            <w:tcW w:w="1387" w:type="dxa"/>
            <w:vAlign w:val="center"/>
          </w:tcPr>
          <w:p w14:paraId="18F8B12F" w14:textId="150CA6A0" w:rsidR="00DC2823" w:rsidRDefault="00DC2823" w:rsidP="00840F5A">
            <w:pPr>
              <w:rPr>
                <w:rFonts w:cs="Arial"/>
              </w:rPr>
            </w:pPr>
            <w:r>
              <w:rPr>
                <w:rFonts w:cs="Arial"/>
              </w:rPr>
              <w:t>01 NOV 2024</w:t>
            </w:r>
          </w:p>
        </w:tc>
        <w:tc>
          <w:tcPr>
            <w:tcW w:w="6248" w:type="dxa"/>
            <w:tcBorders>
              <w:right w:val="double" w:sz="4" w:space="0" w:color="auto"/>
            </w:tcBorders>
            <w:vAlign w:val="center"/>
          </w:tcPr>
          <w:p w14:paraId="17B22807" w14:textId="1230AA35" w:rsidR="00DC2823" w:rsidRDefault="00DC2823" w:rsidP="00840F5A">
            <w:pPr>
              <w:pStyle w:val="ListParagraph"/>
              <w:ind w:left="0"/>
              <w:rPr>
                <w:rFonts w:cs="Arial"/>
              </w:rPr>
            </w:pPr>
            <w:r>
              <w:rPr>
                <w:rFonts w:cs="Arial"/>
              </w:rPr>
              <w:t>Deleted the SCR for HUBZone Small Business Set-Aside projects.</w:t>
            </w:r>
            <w:r>
              <w:t xml:space="preserve"> There is no longer a self-performance requirement in that FAR clause.</w:t>
            </w:r>
          </w:p>
        </w:tc>
      </w:tr>
      <w:tr w:rsidR="00244047" w:rsidRPr="00EE4E8D" w14:paraId="11EE9A9B" w14:textId="77777777" w:rsidTr="003D7E4D">
        <w:trPr>
          <w:cantSplit/>
        </w:trPr>
        <w:tc>
          <w:tcPr>
            <w:tcW w:w="9330" w:type="dxa"/>
            <w:gridSpan w:val="3"/>
            <w:tcBorders>
              <w:left w:val="double" w:sz="4" w:space="0" w:color="auto"/>
              <w:right w:val="double" w:sz="4" w:space="0" w:color="auto"/>
            </w:tcBorders>
          </w:tcPr>
          <w:p w14:paraId="7EEE2AD8" w14:textId="4C65E273" w:rsidR="00244047" w:rsidRDefault="00244047" w:rsidP="003D7E4D">
            <w:pPr>
              <w:pStyle w:val="Heading3"/>
            </w:pPr>
            <w:r w:rsidRPr="006A192A">
              <w:t>Section 10</w:t>
            </w:r>
            <w:r w:rsidR="00634DA2">
              <w:t xml:space="preserve">9 </w:t>
            </w:r>
            <w:r>
              <w:t>–</w:t>
            </w:r>
            <w:r w:rsidR="00727291">
              <w:t xml:space="preserve"> Measurement and Payment</w:t>
            </w:r>
          </w:p>
        </w:tc>
      </w:tr>
      <w:tr w:rsidR="00634DA2" w:rsidRPr="000F2859" w14:paraId="17D3F853" w14:textId="77777777" w:rsidTr="003D7E4D">
        <w:trPr>
          <w:cantSplit/>
        </w:trPr>
        <w:tc>
          <w:tcPr>
            <w:tcW w:w="1695" w:type="dxa"/>
            <w:tcBorders>
              <w:left w:val="double" w:sz="4" w:space="0" w:color="auto"/>
            </w:tcBorders>
            <w:vAlign w:val="center"/>
          </w:tcPr>
          <w:p w14:paraId="6D32F6B5" w14:textId="4E6A1D2E" w:rsidR="00634DA2" w:rsidRDefault="00634DA2" w:rsidP="003D7E4D">
            <w:pPr>
              <w:rPr>
                <w:rFonts w:cs="Arial"/>
              </w:rPr>
            </w:pPr>
            <w:r>
              <w:rPr>
                <w:rFonts w:cs="Arial"/>
              </w:rPr>
              <w:t>10</w:t>
            </w:r>
            <w:r w:rsidR="001D4821">
              <w:rPr>
                <w:rFonts w:cs="Arial"/>
              </w:rPr>
              <w:t>9.01</w:t>
            </w:r>
          </w:p>
        </w:tc>
        <w:tc>
          <w:tcPr>
            <w:tcW w:w="1387" w:type="dxa"/>
            <w:vAlign w:val="center"/>
          </w:tcPr>
          <w:p w14:paraId="572F5D83" w14:textId="1B461B2B" w:rsidR="00634DA2" w:rsidRDefault="00634DA2" w:rsidP="003D7E4D">
            <w:pPr>
              <w:rPr>
                <w:rFonts w:cs="Arial"/>
              </w:rPr>
            </w:pPr>
            <w:r>
              <w:rPr>
                <w:rFonts w:cs="Arial"/>
              </w:rPr>
              <w:t>01 APR 2025</w:t>
            </w:r>
          </w:p>
        </w:tc>
        <w:tc>
          <w:tcPr>
            <w:tcW w:w="6248" w:type="dxa"/>
            <w:tcBorders>
              <w:right w:val="double" w:sz="4" w:space="0" w:color="auto"/>
            </w:tcBorders>
            <w:vAlign w:val="center"/>
          </w:tcPr>
          <w:p w14:paraId="4F2349D3" w14:textId="67E07A04" w:rsidR="00634DA2" w:rsidRPr="00C0005C" w:rsidRDefault="008D3573" w:rsidP="003D7E4D">
            <w:pPr>
              <w:pStyle w:val="ListParagraph"/>
              <w:ind w:left="0"/>
              <w:rPr>
                <w:rFonts w:cs="Arial"/>
              </w:rPr>
            </w:pPr>
            <w:r>
              <w:rPr>
                <w:rFonts w:cs="Arial"/>
              </w:rPr>
              <w:t xml:space="preserve">Deletes the requirement to remeasure quantities for work that has not been completed </w:t>
            </w:r>
            <w:r w:rsidR="005255BC">
              <w:rPr>
                <w:rFonts w:cs="Arial"/>
              </w:rPr>
              <w:t>as shown in the plans or established by the CO.</w:t>
            </w:r>
          </w:p>
        </w:tc>
      </w:tr>
      <w:tr w:rsidR="007E6CEA" w:rsidRPr="000F2859" w14:paraId="349B06DF" w14:textId="77777777" w:rsidTr="003D7E4D">
        <w:trPr>
          <w:cantSplit/>
        </w:trPr>
        <w:tc>
          <w:tcPr>
            <w:tcW w:w="1695" w:type="dxa"/>
            <w:tcBorders>
              <w:left w:val="double" w:sz="4" w:space="0" w:color="auto"/>
            </w:tcBorders>
            <w:vAlign w:val="center"/>
          </w:tcPr>
          <w:p w14:paraId="2748A584" w14:textId="45C8C928" w:rsidR="007E6CEA" w:rsidRDefault="007E6CEA" w:rsidP="003D7E4D">
            <w:pPr>
              <w:rPr>
                <w:rFonts w:cs="Arial"/>
              </w:rPr>
            </w:pPr>
            <w:r>
              <w:rPr>
                <w:rFonts w:cs="Arial"/>
              </w:rPr>
              <w:t>109.02(d)(1</w:t>
            </w:r>
            <w:r w:rsidR="00B42224">
              <w:rPr>
                <w:rFonts w:cs="Arial"/>
              </w:rPr>
              <w:t>)</w:t>
            </w:r>
            <w:r w:rsidR="00B42224" w:rsidRPr="00D361BB">
              <w:rPr>
                <w:rFonts w:cs="Arial"/>
                <w:i/>
                <w:iCs/>
              </w:rPr>
              <w:t>(a)</w:t>
            </w:r>
          </w:p>
        </w:tc>
        <w:tc>
          <w:tcPr>
            <w:tcW w:w="1387" w:type="dxa"/>
            <w:vAlign w:val="center"/>
          </w:tcPr>
          <w:p w14:paraId="29029052" w14:textId="77777777" w:rsidR="007E6CEA" w:rsidRDefault="007E6CEA" w:rsidP="003D7E4D">
            <w:pPr>
              <w:rPr>
                <w:rFonts w:cs="Arial"/>
              </w:rPr>
            </w:pPr>
            <w:r>
              <w:rPr>
                <w:rFonts w:cs="Arial"/>
              </w:rPr>
              <w:t>01 APR 2025</w:t>
            </w:r>
          </w:p>
        </w:tc>
        <w:tc>
          <w:tcPr>
            <w:tcW w:w="6248" w:type="dxa"/>
            <w:tcBorders>
              <w:right w:val="double" w:sz="4" w:space="0" w:color="auto"/>
            </w:tcBorders>
            <w:vAlign w:val="center"/>
          </w:tcPr>
          <w:p w14:paraId="4F3F39E2" w14:textId="77777777" w:rsidR="007E6CEA" w:rsidRDefault="00736817" w:rsidP="003D7E4D">
            <w:pPr>
              <w:pStyle w:val="ListParagraph"/>
              <w:ind w:left="0"/>
              <w:rPr>
                <w:rFonts w:cs="Arial"/>
              </w:rPr>
            </w:pPr>
            <w:r>
              <w:rPr>
                <w:rFonts w:cs="Arial"/>
              </w:rPr>
              <w:t xml:space="preserve">Deletes the requirement to </w:t>
            </w:r>
            <w:r w:rsidR="00092A3F">
              <w:rPr>
                <w:rFonts w:cs="Arial"/>
              </w:rPr>
              <w:t xml:space="preserve">not measure work outside the </w:t>
            </w:r>
            <w:r w:rsidR="00591C29">
              <w:rPr>
                <w:rFonts w:cs="Arial"/>
              </w:rPr>
              <w:t>lines or slopes established by the CO.  This requirement is specified in Subsection 109.01.</w:t>
            </w:r>
          </w:p>
          <w:p w14:paraId="73FA97A5" w14:textId="77777777" w:rsidR="000F2547" w:rsidRDefault="000F2547" w:rsidP="003D7E4D">
            <w:pPr>
              <w:pStyle w:val="ListParagraph"/>
              <w:ind w:left="0"/>
              <w:rPr>
                <w:rFonts w:cs="Arial"/>
              </w:rPr>
            </w:pPr>
          </w:p>
          <w:p w14:paraId="62676BAF" w14:textId="6415063E" w:rsidR="000F2547" w:rsidRPr="00C0005C" w:rsidRDefault="000F2547" w:rsidP="003D7E4D">
            <w:pPr>
              <w:pStyle w:val="ListParagraph"/>
              <w:ind w:left="0"/>
              <w:rPr>
                <w:rFonts w:cs="Arial"/>
              </w:rPr>
            </w:pPr>
            <w:r>
              <w:rPr>
                <w:rFonts w:cs="Arial"/>
              </w:rPr>
              <w:t xml:space="preserve">Deletes the </w:t>
            </w:r>
            <w:r w:rsidR="00242597">
              <w:rPr>
                <w:rFonts w:cs="Arial"/>
              </w:rPr>
              <w:t xml:space="preserve">requirement to </w:t>
            </w:r>
            <w:r w:rsidR="00887217">
              <w:rPr>
                <w:rFonts w:cs="Arial"/>
              </w:rPr>
              <w:t xml:space="preserve">retake cross-sections or measurements of work that is not completed to the </w:t>
            </w:r>
            <w:r w:rsidR="002F5771">
              <w:rPr>
                <w:rFonts w:cs="Arial"/>
              </w:rPr>
              <w:t xml:space="preserve">established lines and slopes.  </w:t>
            </w:r>
            <w:r w:rsidR="00C93CED">
              <w:rPr>
                <w:rFonts w:cs="Arial"/>
              </w:rPr>
              <w:t xml:space="preserve">The requirement conflicts with </w:t>
            </w:r>
            <w:r w:rsidR="0042164A">
              <w:rPr>
                <w:rFonts w:cs="Arial"/>
              </w:rPr>
              <w:t>Subsection 109.01</w:t>
            </w:r>
            <w:r w:rsidR="00C93CED">
              <w:rPr>
                <w:rFonts w:cs="Arial"/>
              </w:rPr>
              <w:t xml:space="preserve"> </w:t>
            </w:r>
            <w:r w:rsidR="00B80073">
              <w:rPr>
                <w:rFonts w:cs="Arial"/>
              </w:rPr>
              <w:t xml:space="preserve">requirement to not measure work outside the </w:t>
            </w:r>
            <w:r w:rsidR="001C0F0F">
              <w:rPr>
                <w:rFonts w:cs="Arial"/>
              </w:rPr>
              <w:t>adjusted or specified limits (staked limits).</w:t>
            </w:r>
          </w:p>
        </w:tc>
      </w:tr>
      <w:tr w:rsidR="00C140F9" w:rsidRPr="000F2859" w14:paraId="39B71FC5"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4387543A" w14:textId="30265BA1" w:rsidR="00C140F9" w:rsidRDefault="00D7332F" w:rsidP="00405FBE">
            <w:pPr>
              <w:pStyle w:val="Heading2"/>
              <w:rPr>
                <w:lang w:val="fr-FR"/>
              </w:rPr>
            </w:pPr>
            <w:r>
              <w:rPr>
                <w:lang w:val="fr-FR"/>
              </w:rPr>
              <w:t>DIVISION 150</w:t>
            </w:r>
          </w:p>
        </w:tc>
      </w:tr>
      <w:tr w:rsidR="006052A5" w:rsidRPr="00EE4E8D" w14:paraId="615EB86E" w14:textId="77777777" w:rsidTr="0018338A">
        <w:trPr>
          <w:cantSplit/>
        </w:trPr>
        <w:tc>
          <w:tcPr>
            <w:tcW w:w="9330" w:type="dxa"/>
            <w:gridSpan w:val="3"/>
            <w:tcBorders>
              <w:left w:val="double" w:sz="4" w:space="0" w:color="auto"/>
              <w:right w:val="double" w:sz="4" w:space="0" w:color="auto"/>
            </w:tcBorders>
            <w:vAlign w:val="center"/>
          </w:tcPr>
          <w:p w14:paraId="78FEC87F" w14:textId="4C65D5D1" w:rsidR="006052A5" w:rsidRDefault="006052A5" w:rsidP="0018338A">
            <w:pPr>
              <w:pStyle w:val="Heading3"/>
            </w:pPr>
            <w:r>
              <w:t xml:space="preserve">Section 152 – </w:t>
            </w:r>
            <w:r w:rsidR="00DD5FA5">
              <w:t xml:space="preserve">Construction </w:t>
            </w:r>
            <w:r>
              <w:t>S</w:t>
            </w:r>
            <w:r w:rsidR="004C02A9">
              <w:t>urvey and Staking</w:t>
            </w:r>
          </w:p>
        </w:tc>
      </w:tr>
      <w:tr w:rsidR="006052A5" w:rsidRPr="000F2859" w14:paraId="4A2AD4CF" w14:textId="77777777" w:rsidTr="0018338A">
        <w:trPr>
          <w:cantSplit/>
        </w:trPr>
        <w:tc>
          <w:tcPr>
            <w:tcW w:w="1695" w:type="dxa"/>
            <w:tcBorders>
              <w:left w:val="double" w:sz="4" w:space="0" w:color="auto"/>
            </w:tcBorders>
            <w:vAlign w:val="center"/>
          </w:tcPr>
          <w:p w14:paraId="1E4B22F5" w14:textId="41B2A3E8" w:rsidR="006052A5" w:rsidRDefault="001B7EBF" w:rsidP="0018338A">
            <w:pPr>
              <w:rPr>
                <w:rFonts w:cs="Arial"/>
              </w:rPr>
            </w:pPr>
            <w:r>
              <w:rPr>
                <w:rFonts w:cs="Arial"/>
              </w:rPr>
              <w:t>152.04</w:t>
            </w:r>
          </w:p>
        </w:tc>
        <w:tc>
          <w:tcPr>
            <w:tcW w:w="1387" w:type="dxa"/>
            <w:vAlign w:val="center"/>
          </w:tcPr>
          <w:p w14:paraId="4388C59B" w14:textId="77777777" w:rsidR="006052A5" w:rsidRDefault="006052A5" w:rsidP="0018338A">
            <w:pPr>
              <w:rPr>
                <w:rFonts w:cs="Arial"/>
              </w:rPr>
            </w:pPr>
            <w:r>
              <w:rPr>
                <w:rFonts w:cs="Arial"/>
              </w:rPr>
              <w:t>01 APR 2025</w:t>
            </w:r>
          </w:p>
        </w:tc>
        <w:tc>
          <w:tcPr>
            <w:tcW w:w="6248" w:type="dxa"/>
            <w:tcBorders>
              <w:right w:val="double" w:sz="4" w:space="0" w:color="auto"/>
            </w:tcBorders>
            <w:vAlign w:val="center"/>
          </w:tcPr>
          <w:p w14:paraId="7111926A" w14:textId="564C8BAA" w:rsidR="006052A5" w:rsidRDefault="005A0E48" w:rsidP="0018338A">
            <w:pPr>
              <w:rPr>
                <w:rFonts w:cs="Arial"/>
              </w:rPr>
            </w:pPr>
            <w:r>
              <w:rPr>
                <w:rFonts w:cs="Arial"/>
              </w:rPr>
              <w:t>Clarifies</w:t>
            </w:r>
            <w:r w:rsidR="00EA4E8B">
              <w:rPr>
                <w:rFonts w:cs="Arial"/>
              </w:rPr>
              <w:t xml:space="preserve"> that the Government will set a stake to identify the approximate beginning of the project</w:t>
            </w:r>
            <w:r w:rsidR="008E30AB">
              <w:rPr>
                <w:rFonts w:cs="Arial"/>
              </w:rPr>
              <w:t xml:space="preserve"> in cases where no control</w:t>
            </w:r>
            <w:r w:rsidR="00F115A0">
              <w:rPr>
                <w:rFonts w:cs="Arial"/>
              </w:rPr>
              <w:t xml:space="preserve"> is furnished.</w:t>
            </w:r>
          </w:p>
        </w:tc>
      </w:tr>
      <w:tr w:rsidR="006F4C2B" w:rsidRPr="000F2859" w14:paraId="4D8A2DD0" w14:textId="77777777" w:rsidTr="0018338A">
        <w:trPr>
          <w:cantSplit/>
        </w:trPr>
        <w:tc>
          <w:tcPr>
            <w:tcW w:w="1695" w:type="dxa"/>
            <w:tcBorders>
              <w:left w:val="double" w:sz="4" w:space="0" w:color="auto"/>
            </w:tcBorders>
            <w:vAlign w:val="center"/>
          </w:tcPr>
          <w:p w14:paraId="192DF70B" w14:textId="2B15942B" w:rsidR="006F4C2B" w:rsidRDefault="006F4C2B" w:rsidP="0018338A">
            <w:pPr>
              <w:rPr>
                <w:rFonts w:cs="Arial"/>
              </w:rPr>
            </w:pPr>
            <w:r>
              <w:rPr>
                <w:rFonts w:cs="Arial"/>
              </w:rPr>
              <w:t>152.04(b)</w:t>
            </w:r>
          </w:p>
        </w:tc>
        <w:tc>
          <w:tcPr>
            <w:tcW w:w="1387" w:type="dxa"/>
            <w:vAlign w:val="center"/>
          </w:tcPr>
          <w:p w14:paraId="136B2DE0" w14:textId="795D1247" w:rsidR="006F4C2B" w:rsidRDefault="006F4C2B" w:rsidP="0018338A">
            <w:pPr>
              <w:rPr>
                <w:rFonts w:cs="Arial"/>
              </w:rPr>
            </w:pPr>
            <w:r>
              <w:rPr>
                <w:rFonts w:cs="Arial"/>
              </w:rPr>
              <w:t>01 APR 2025</w:t>
            </w:r>
          </w:p>
        </w:tc>
        <w:tc>
          <w:tcPr>
            <w:tcW w:w="6248" w:type="dxa"/>
            <w:tcBorders>
              <w:right w:val="double" w:sz="4" w:space="0" w:color="auto"/>
            </w:tcBorders>
            <w:vAlign w:val="center"/>
          </w:tcPr>
          <w:p w14:paraId="11CBABCA" w14:textId="0B3EA58B" w:rsidR="006F4C2B" w:rsidRDefault="000F392E" w:rsidP="0018338A">
            <w:pPr>
              <w:rPr>
                <w:rFonts w:cs="Arial"/>
              </w:rPr>
            </w:pPr>
            <w:r>
              <w:rPr>
                <w:rFonts w:cs="Arial"/>
              </w:rPr>
              <w:t xml:space="preserve">Deletes the requirement for 10 </w:t>
            </w:r>
            <w:proofErr w:type="spellStart"/>
            <w:r>
              <w:rPr>
                <w:rFonts w:cs="Arial"/>
              </w:rPr>
              <w:t>days notice</w:t>
            </w:r>
            <w:proofErr w:type="spellEnd"/>
            <w:r>
              <w:rPr>
                <w:rFonts w:cs="Arial"/>
              </w:rPr>
              <w:t xml:space="preserve"> of missing </w:t>
            </w:r>
            <w:r w:rsidR="00D95593">
              <w:rPr>
                <w:rFonts w:cs="Arial"/>
              </w:rPr>
              <w:t>control points or stakes</w:t>
            </w:r>
            <w:r w:rsidR="001F1E75">
              <w:rPr>
                <w:rFonts w:cs="Arial"/>
              </w:rPr>
              <w:t>. 10 days</w:t>
            </w:r>
            <w:r w:rsidR="00D95593">
              <w:rPr>
                <w:rFonts w:cs="Arial"/>
              </w:rPr>
              <w:t xml:space="preserve"> is </w:t>
            </w:r>
            <w:r w:rsidR="001F1E75">
              <w:rPr>
                <w:rFonts w:cs="Arial"/>
              </w:rPr>
              <w:t xml:space="preserve">not </w:t>
            </w:r>
            <w:r w:rsidR="00AB30E9">
              <w:rPr>
                <w:rFonts w:cs="Arial"/>
              </w:rPr>
              <w:t>needed.</w:t>
            </w:r>
            <w:r w:rsidR="00D95593">
              <w:rPr>
                <w:rFonts w:cs="Arial"/>
              </w:rPr>
              <w:t>.</w:t>
            </w:r>
          </w:p>
        </w:tc>
      </w:tr>
      <w:tr w:rsidR="00D7332F" w:rsidRPr="00EE4E8D" w14:paraId="56148D0B" w14:textId="77777777" w:rsidTr="0018338A">
        <w:trPr>
          <w:cantSplit/>
        </w:trPr>
        <w:tc>
          <w:tcPr>
            <w:tcW w:w="9330" w:type="dxa"/>
            <w:gridSpan w:val="3"/>
            <w:tcBorders>
              <w:left w:val="double" w:sz="4" w:space="0" w:color="auto"/>
              <w:right w:val="double" w:sz="4" w:space="0" w:color="auto"/>
            </w:tcBorders>
            <w:vAlign w:val="center"/>
          </w:tcPr>
          <w:p w14:paraId="427D2581" w14:textId="0835ECEA" w:rsidR="00D7332F" w:rsidRPr="00EE4E8D" w:rsidRDefault="00D7332F" w:rsidP="0018338A">
            <w:pPr>
              <w:pStyle w:val="Heading3"/>
            </w:pPr>
            <w:r>
              <w:t xml:space="preserve">Section </w:t>
            </w:r>
            <w:r w:rsidR="00FD6447">
              <w:t xml:space="preserve">156 </w:t>
            </w:r>
            <w:r w:rsidR="00953D95">
              <w:t>–</w:t>
            </w:r>
            <w:r w:rsidR="00FD6447">
              <w:t xml:space="preserve"> </w:t>
            </w:r>
            <w:r w:rsidR="00953D95">
              <w:t>Public Traffic</w:t>
            </w:r>
          </w:p>
        </w:tc>
      </w:tr>
      <w:tr w:rsidR="007A373D" w:rsidRPr="000F2859" w14:paraId="059AA965" w14:textId="77777777" w:rsidTr="0018338A">
        <w:trPr>
          <w:cantSplit/>
        </w:trPr>
        <w:tc>
          <w:tcPr>
            <w:tcW w:w="1695" w:type="dxa"/>
            <w:tcBorders>
              <w:left w:val="double" w:sz="4" w:space="0" w:color="auto"/>
            </w:tcBorders>
            <w:vAlign w:val="center"/>
          </w:tcPr>
          <w:p w14:paraId="6D1A0ED5" w14:textId="4A88CDCF" w:rsidR="007A373D" w:rsidRDefault="006E06F2" w:rsidP="0018338A">
            <w:pPr>
              <w:rPr>
                <w:rFonts w:cs="Arial"/>
              </w:rPr>
            </w:pPr>
            <w:r>
              <w:rPr>
                <w:rFonts w:cs="Arial"/>
              </w:rPr>
              <w:t>156.</w:t>
            </w:r>
            <w:r w:rsidR="002A4BF2">
              <w:rPr>
                <w:rFonts w:cs="Arial"/>
              </w:rPr>
              <w:t>06</w:t>
            </w:r>
          </w:p>
        </w:tc>
        <w:tc>
          <w:tcPr>
            <w:tcW w:w="1387" w:type="dxa"/>
            <w:vAlign w:val="center"/>
          </w:tcPr>
          <w:p w14:paraId="1BB805EE" w14:textId="77777777" w:rsidR="007A373D" w:rsidRDefault="007A373D" w:rsidP="0018338A">
            <w:pPr>
              <w:rPr>
                <w:rFonts w:cs="Arial"/>
              </w:rPr>
            </w:pPr>
            <w:r>
              <w:rPr>
                <w:rFonts w:cs="Arial"/>
              </w:rPr>
              <w:t>01 APR 2025</w:t>
            </w:r>
          </w:p>
        </w:tc>
        <w:tc>
          <w:tcPr>
            <w:tcW w:w="6248" w:type="dxa"/>
            <w:tcBorders>
              <w:right w:val="double" w:sz="4" w:space="0" w:color="auto"/>
            </w:tcBorders>
            <w:vAlign w:val="center"/>
          </w:tcPr>
          <w:p w14:paraId="7DC83B5F" w14:textId="405B7636" w:rsidR="007A373D" w:rsidRDefault="007A373D" w:rsidP="0018338A">
            <w:pPr>
              <w:rPr>
                <w:rFonts w:cs="Arial"/>
              </w:rPr>
            </w:pPr>
            <w:r>
              <w:rPr>
                <w:rFonts w:cs="Arial"/>
              </w:rPr>
              <w:t xml:space="preserve">Corrects </w:t>
            </w:r>
            <w:r w:rsidR="000235C4">
              <w:rPr>
                <w:rFonts w:cs="Arial"/>
              </w:rPr>
              <w:t xml:space="preserve">LOS </w:t>
            </w:r>
            <w:r>
              <w:rPr>
                <w:rFonts w:cs="Arial"/>
              </w:rPr>
              <w:t xml:space="preserve">error in Subsection numbering </w:t>
            </w:r>
            <w:r w:rsidR="00927A2F">
              <w:rPr>
                <w:rFonts w:cs="Arial"/>
              </w:rPr>
              <w:t xml:space="preserve">for </w:t>
            </w:r>
            <w:r w:rsidR="002A4BF2">
              <w:rPr>
                <w:rFonts w:cs="Arial"/>
              </w:rPr>
              <w:t>Limitations on Construction Operations.</w:t>
            </w:r>
          </w:p>
        </w:tc>
      </w:tr>
      <w:tr w:rsidR="007A373D" w:rsidRPr="000F2859" w14:paraId="21709E41" w14:textId="77777777" w:rsidTr="0018338A">
        <w:trPr>
          <w:cantSplit/>
        </w:trPr>
        <w:tc>
          <w:tcPr>
            <w:tcW w:w="1695" w:type="dxa"/>
            <w:tcBorders>
              <w:left w:val="double" w:sz="4" w:space="0" w:color="auto"/>
            </w:tcBorders>
            <w:vAlign w:val="center"/>
          </w:tcPr>
          <w:p w14:paraId="3AE3E7C9" w14:textId="41E9D6E9" w:rsidR="007A373D" w:rsidRDefault="007A373D" w:rsidP="0018338A">
            <w:pPr>
              <w:rPr>
                <w:rFonts w:cs="Arial"/>
              </w:rPr>
            </w:pPr>
            <w:bookmarkStart w:id="7" w:name="_Hlk193881760"/>
            <w:bookmarkStart w:id="8" w:name="_Hlk192755006"/>
            <w:r>
              <w:rPr>
                <w:rFonts w:cs="Arial"/>
              </w:rPr>
              <w:t>1</w:t>
            </w:r>
            <w:r w:rsidR="00103791">
              <w:rPr>
                <w:rFonts w:cs="Arial"/>
              </w:rPr>
              <w:t>5</w:t>
            </w:r>
            <w:r w:rsidR="002A4BF2">
              <w:rPr>
                <w:rFonts w:cs="Arial"/>
              </w:rPr>
              <w:t>6.08</w:t>
            </w:r>
          </w:p>
        </w:tc>
        <w:tc>
          <w:tcPr>
            <w:tcW w:w="1387" w:type="dxa"/>
            <w:vAlign w:val="center"/>
          </w:tcPr>
          <w:p w14:paraId="543FEC53" w14:textId="77777777" w:rsidR="007A373D" w:rsidRDefault="007A373D" w:rsidP="0018338A">
            <w:pPr>
              <w:rPr>
                <w:rFonts w:cs="Arial"/>
              </w:rPr>
            </w:pPr>
            <w:r>
              <w:rPr>
                <w:rFonts w:cs="Arial"/>
              </w:rPr>
              <w:t>01 APR 2025</w:t>
            </w:r>
          </w:p>
        </w:tc>
        <w:tc>
          <w:tcPr>
            <w:tcW w:w="6248" w:type="dxa"/>
            <w:tcBorders>
              <w:right w:val="double" w:sz="4" w:space="0" w:color="auto"/>
            </w:tcBorders>
            <w:vAlign w:val="center"/>
          </w:tcPr>
          <w:p w14:paraId="335A11FB" w14:textId="1C5EEBCD" w:rsidR="007A373D" w:rsidRDefault="007A373D" w:rsidP="0018338A">
            <w:pPr>
              <w:rPr>
                <w:rFonts w:cs="Arial"/>
              </w:rPr>
            </w:pPr>
            <w:r>
              <w:rPr>
                <w:rFonts w:cs="Arial"/>
              </w:rPr>
              <w:t xml:space="preserve">Corrects </w:t>
            </w:r>
            <w:r w:rsidR="000235C4">
              <w:rPr>
                <w:rFonts w:cs="Arial"/>
              </w:rPr>
              <w:t xml:space="preserve">LOS </w:t>
            </w:r>
            <w:r>
              <w:rPr>
                <w:rFonts w:cs="Arial"/>
              </w:rPr>
              <w:t xml:space="preserve">error in Subsection numbering for </w:t>
            </w:r>
            <w:r w:rsidR="002A4BF2">
              <w:rPr>
                <w:rFonts w:cs="Arial"/>
              </w:rPr>
              <w:t xml:space="preserve">Traffic Control </w:t>
            </w:r>
            <w:r w:rsidR="00250C25">
              <w:rPr>
                <w:rFonts w:cs="Arial"/>
              </w:rPr>
              <w:t>Su</w:t>
            </w:r>
            <w:r w:rsidR="002A4BF2">
              <w:rPr>
                <w:rFonts w:cs="Arial"/>
              </w:rPr>
              <w:t>pervisor</w:t>
            </w:r>
            <w:r w:rsidR="000F77B7">
              <w:rPr>
                <w:rFonts w:cs="Arial"/>
              </w:rPr>
              <w:t>.</w:t>
            </w:r>
          </w:p>
        </w:tc>
      </w:tr>
      <w:bookmarkEnd w:id="7"/>
      <w:tr w:rsidR="00F72F2F" w:rsidRPr="000F2859" w14:paraId="2239DE4B" w14:textId="77777777" w:rsidTr="003D7E4D">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140BC2B9" w14:textId="08F14A57" w:rsidR="00F72F2F" w:rsidRPr="000F2859" w:rsidRDefault="00F72F2F" w:rsidP="003D7E4D">
            <w:pPr>
              <w:pStyle w:val="Heading2"/>
              <w:rPr>
                <w:lang w:val="fr-FR"/>
              </w:rPr>
            </w:pPr>
            <w:r>
              <w:rPr>
                <w:lang w:val="fr-FR"/>
              </w:rPr>
              <w:t>DIVISION 2</w:t>
            </w:r>
            <w:r w:rsidR="0025296F">
              <w:rPr>
                <w:lang w:val="fr-FR"/>
              </w:rPr>
              <w:t>00</w:t>
            </w:r>
          </w:p>
        </w:tc>
      </w:tr>
      <w:bookmarkEnd w:id="8"/>
      <w:tr w:rsidR="00F72F2F" w:rsidRPr="00EE4E8D" w14:paraId="55C8FE9B" w14:textId="77777777" w:rsidTr="003D7E4D">
        <w:trPr>
          <w:cantSplit/>
        </w:trPr>
        <w:tc>
          <w:tcPr>
            <w:tcW w:w="9330" w:type="dxa"/>
            <w:gridSpan w:val="3"/>
            <w:tcBorders>
              <w:left w:val="double" w:sz="4" w:space="0" w:color="auto"/>
              <w:right w:val="double" w:sz="4" w:space="0" w:color="auto"/>
            </w:tcBorders>
            <w:vAlign w:val="center"/>
          </w:tcPr>
          <w:p w14:paraId="524FADBD" w14:textId="24199A75" w:rsidR="00F72F2F" w:rsidRPr="00EE4E8D" w:rsidRDefault="00F72F2F" w:rsidP="003D7E4D">
            <w:pPr>
              <w:pStyle w:val="Heading3"/>
            </w:pPr>
            <w:r>
              <w:t xml:space="preserve">Section 204 – </w:t>
            </w:r>
            <w:r w:rsidR="00A07145">
              <w:t>Excavation and Embankment</w:t>
            </w:r>
          </w:p>
        </w:tc>
      </w:tr>
      <w:tr w:rsidR="00F72F2F" w:rsidRPr="000F2859" w14:paraId="2DBBF3FF" w14:textId="77777777" w:rsidTr="003D7E4D">
        <w:trPr>
          <w:cantSplit/>
        </w:trPr>
        <w:tc>
          <w:tcPr>
            <w:tcW w:w="1695" w:type="dxa"/>
            <w:tcBorders>
              <w:left w:val="double" w:sz="4" w:space="0" w:color="auto"/>
            </w:tcBorders>
            <w:vAlign w:val="center"/>
          </w:tcPr>
          <w:p w14:paraId="1FD021F4" w14:textId="19299969" w:rsidR="00F72F2F" w:rsidRDefault="009E4D21" w:rsidP="003D7E4D">
            <w:pPr>
              <w:rPr>
                <w:rFonts w:cs="Arial"/>
              </w:rPr>
            </w:pPr>
            <w:r>
              <w:rPr>
                <w:rFonts w:cs="Arial"/>
              </w:rPr>
              <w:t>204.16(</w:t>
            </w:r>
            <w:r w:rsidR="00B52A9E">
              <w:rPr>
                <w:rFonts w:cs="Arial"/>
              </w:rPr>
              <w:t>c)(1)</w:t>
            </w:r>
            <w:r w:rsidR="00B52A9E" w:rsidRPr="00B52A9E">
              <w:rPr>
                <w:rFonts w:cs="Arial"/>
                <w:i/>
                <w:iCs/>
              </w:rPr>
              <w:t>(a)</w:t>
            </w:r>
          </w:p>
        </w:tc>
        <w:tc>
          <w:tcPr>
            <w:tcW w:w="1387" w:type="dxa"/>
            <w:vAlign w:val="center"/>
          </w:tcPr>
          <w:p w14:paraId="0EB34637" w14:textId="77777777" w:rsidR="00F72F2F" w:rsidRDefault="00F72F2F" w:rsidP="003D7E4D">
            <w:pPr>
              <w:rPr>
                <w:rFonts w:cs="Arial"/>
              </w:rPr>
            </w:pPr>
            <w:r>
              <w:rPr>
                <w:rFonts w:cs="Arial"/>
              </w:rPr>
              <w:t>01 APR 2025</w:t>
            </w:r>
          </w:p>
        </w:tc>
        <w:tc>
          <w:tcPr>
            <w:tcW w:w="6248" w:type="dxa"/>
            <w:tcBorders>
              <w:right w:val="double" w:sz="4" w:space="0" w:color="auto"/>
            </w:tcBorders>
            <w:vAlign w:val="center"/>
          </w:tcPr>
          <w:p w14:paraId="0E9964C8" w14:textId="7B609E08" w:rsidR="00F72F2F" w:rsidRDefault="00B52A9E" w:rsidP="003D7E4D">
            <w:pPr>
              <w:rPr>
                <w:rFonts w:cs="Arial"/>
              </w:rPr>
            </w:pPr>
            <w:r>
              <w:rPr>
                <w:rFonts w:cs="Arial"/>
              </w:rPr>
              <w:t>Adds a r</w:t>
            </w:r>
            <w:r w:rsidR="008D34CC">
              <w:rPr>
                <w:rFonts w:cs="Arial"/>
              </w:rPr>
              <w:t xml:space="preserve">equirement to measure </w:t>
            </w:r>
            <w:r w:rsidR="003E2B9A">
              <w:rPr>
                <w:rFonts w:cs="Arial"/>
              </w:rPr>
              <w:t xml:space="preserve">embankment construction </w:t>
            </w:r>
            <w:r w:rsidR="00FD6112">
              <w:rPr>
                <w:rFonts w:cs="Arial"/>
              </w:rPr>
              <w:t xml:space="preserve">using the design volume. </w:t>
            </w:r>
          </w:p>
        </w:tc>
      </w:tr>
      <w:tr w:rsidR="006C48CE" w:rsidRPr="000F2859" w14:paraId="4ECCBFC7"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17FFE3A4" w14:textId="0B0EDA93" w:rsidR="006C48CE" w:rsidRPr="000F2859" w:rsidRDefault="006C48CE" w:rsidP="00405FBE">
            <w:pPr>
              <w:pStyle w:val="Heading2"/>
              <w:rPr>
                <w:lang w:val="fr-FR"/>
              </w:rPr>
            </w:pPr>
            <w:r>
              <w:rPr>
                <w:lang w:val="fr-FR"/>
              </w:rPr>
              <w:t>DIVISION 250</w:t>
            </w:r>
          </w:p>
        </w:tc>
      </w:tr>
      <w:tr w:rsidR="00B97D2D" w:rsidRPr="00EE4E8D" w14:paraId="05F1C207" w14:textId="77777777" w:rsidTr="00C30FF0">
        <w:trPr>
          <w:cantSplit/>
        </w:trPr>
        <w:tc>
          <w:tcPr>
            <w:tcW w:w="9330" w:type="dxa"/>
            <w:gridSpan w:val="3"/>
            <w:tcBorders>
              <w:left w:val="double" w:sz="4" w:space="0" w:color="auto"/>
              <w:right w:val="double" w:sz="4" w:space="0" w:color="auto"/>
            </w:tcBorders>
            <w:vAlign w:val="center"/>
          </w:tcPr>
          <w:p w14:paraId="43649D42" w14:textId="0ADD293A" w:rsidR="00B97D2D" w:rsidRPr="00EE4E8D" w:rsidRDefault="00B97D2D" w:rsidP="00C30FF0">
            <w:pPr>
              <w:pStyle w:val="Heading3"/>
            </w:pPr>
            <w:bookmarkStart w:id="9" w:name="_Hlk192754843"/>
            <w:r>
              <w:t xml:space="preserve">Section </w:t>
            </w:r>
            <w:r w:rsidR="00DD7BE7">
              <w:t>255 – Mechanically Stabilized Earth Walls</w:t>
            </w:r>
          </w:p>
        </w:tc>
      </w:tr>
      <w:bookmarkEnd w:id="9"/>
      <w:tr w:rsidR="00DD7BE7" w:rsidRPr="000F2859" w14:paraId="3DC97BE2" w14:textId="77777777" w:rsidTr="003D22E7">
        <w:trPr>
          <w:cantSplit/>
        </w:trPr>
        <w:tc>
          <w:tcPr>
            <w:tcW w:w="1695" w:type="dxa"/>
            <w:tcBorders>
              <w:left w:val="double" w:sz="4" w:space="0" w:color="auto"/>
            </w:tcBorders>
            <w:vAlign w:val="center"/>
          </w:tcPr>
          <w:p w14:paraId="6D1094AC" w14:textId="11151767" w:rsidR="00DD7BE7" w:rsidRDefault="00DD7BE7" w:rsidP="00C30FF0">
            <w:pPr>
              <w:rPr>
                <w:rFonts w:cs="Arial"/>
              </w:rPr>
            </w:pPr>
            <w:r>
              <w:rPr>
                <w:rFonts w:cs="Arial"/>
              </w:rPr>
              <w:t>255.04</w:t>
            </w:r>
          </w:p>
        </w:tc>
        <w:tc>
          <w:tcPr>
            <w:tcW w:w="1387" w:type="dxa"/>
            <w:vAlign w:val="center"/>
          </w:tcPr>
          <w:p w14:paraId="302479AE" w14:textId="0843B8F7" w:rsidR="00DD7BE7" w:rsidRDefault="003D22E7" w:rsidP="00C30FF0">
            <w:pPr>
              <w:rPr>
                <w:rFonts w:cs="Arial"/>
              </w:rPr>
            </w:pPr>
            <w:r>
              <w:rPr>
                <w:rFonts w:cs="Arial"/>
              </w:rPr>
              <w:t>01 NOV 2024</w:t>
            </w:r>
          </w:p>
        </w:tc>
        <w:tc>
          <w:tcPr>
            <w:tcW w:w="6248" w:type="dxa"/>
            <w:tcBorders>
              <w:right w:val="double" w:sz="4" w:space="0" w:color="auto"/>
            </w:tcBorders>
            <w:vAlign w:val="center"/>
          </w:tcPr>
          <w:p w14:paraId="025CD0F8" w14:textId="30FCD078" w:rsidR="00DD7BE7" w:rsidRDefault="00DD7BE7" w:rsidP="00C30FF0">
            <w:pPr>
              <w:pStyle w:val="ListParagraph"/>
              <w:ind w:left="0"/>
              <w:rPr>
                <w:rFonts w:cs="Arial"/>
              </w:rPr>
            </w:pPr>
            <w:r w:rsidRPr="00DD7BE7">
              <w:rPr>
                <w:rFonts w:cs="Arial"/>
              </w:rPr>
              <w:t>This SCR is added to correct a typographical error in the example for wall construction vertical tolerances.  Footnote (1) of Table 255-1 is revised.</w:t>
            </w:r>
          </w:p>
        </w:tc>
      </w:tr>
      <w:tr w:rsidR="006C48CE" w:rsidRPr="000F2859" w14:paraId="26DA58F5"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41139224" w14:textId="5E078B4E" w:rsidR="006C48CE" w:rsidRPr="000F2859" w:rsidRDefault="006C48CE" w:rsidP="00405FBE">
            <w:pPr>
              <w:pStyle w:val="Heading2"/>
              <w:rPr>
                <w:lang w:val="fr-FR"/>
              </w:rPr>
            </w:pPr>
            <w:r>
              <w:rPr>
                <w:lang w:val="fr-FR"/>
              </w:rPr>
              <w:t>DIVISION 300</w:t>
            </w:r>
          </w:p>
        </w:tc>
      </w:tr>
      <w:tr w:rsidR="00392872" w:rsidRPr="00EE4E8D" w14:paraId="136362E8" w14:textId="77777777" w:rsidTr="00C30FF0">
        <w:trPr>
          <w:cantSplit/>
        </w:trPr>
        <w:tc>
          <w:tcPr>
            <w:tcW w:w="9330" w:type="dxa"/>
            <w:gridSpan w:val="3"/>
            <w:tcBorders>
              <w:left w:val="double" w:sz="4" w:space="0" w:color="auto"/>
              <w:right w:val="double" w:sz="4" w:space="0" w:color="auto"/>
            </w:tcBorders>
            <w:vAlign w:val="center"/>
          </w:tcPr>
          <w:p w14:paraId="42AD74B7" w14:textId="1C5541FD" w:rsidR="00392872" w:rsidRPr="00EE4E8D" w:rsidRDefault="00392872" w:rsidP="00C30FF0">
            <w:pPr>
              <w:pStyle w:val="Heading3"/>
            </w:pPr>
            <w:r>
              <w:t>Section 311 – Stabilized Aggregate Surface Course</w:t>
            </w:r>
          </w:p>
        </w:tc>
      </w:tr>
      <w:tr w:rsidR="00392872" w:rsidRPr="000F2859" w14:paraId="15D587C2" w14:textId="77777777" w:rsidTr="003D22E7">
        <w:trPr>
          <w:cantSplit/>
        </w:trPr>
        <w:tc>
          <w:tcPr>
            <w:tcW w:w="1695" w:type="dxa"/>
            <w:tcBorders>
              <w:left w:val="double" w:sz="4" w:space="0" w:color="auto"/>
            </w:tcBorders>
            <w:vAlign w:val="center"/>
          </w:tcPr>
          <w:p w14:paraId="7309547C" w14:textId="643FA54F" w:rsidR="00392872" w:rsidRDefault="003D22E7" w:rsidP="00C30FF0">
            <w:pPr>
              <w:rPr>
                <w:rFonts w:cs="Arial"/>
              </w:rPr>
            </w:pPr>
            <w:r>
              <w:rPr>
                <w:rFonts w:cs="Arial"/>
              </w:rPr>
              <w:t>311.02</w:t>
            </w:r>
          </w:p>
        </w:tc>
        <w:tc>
          <w:tcPr>
            <w:tcW w:w="1387" w:type="dxa"/>
            <w:vAlign w:val="center"/>
          </w:tcPr>
          <w:p w14:paraId="47FB04F2" w14:textId="473392DF" w:rsidR="00392872" w:rsidRDefault="003D22E7" w:rsidP="00C30FF0">
            <w:pPr>
              <w:rPr>
                <w:rFonts w:cs="Arial"/>
              </w:rPr>
            </w:pPr>
            <w:r>
              <w:rPr>
                <w:rFonts w:cs="Arial"/>
              </w:rPr>
              <w:t>01 NOV 2024</w:t>
            </w:r>
          </w:p>
        </w:tc>
        <w:tc>
          <w:tcPr>
            <w:tcW w:w="6248" w:type="dxa"/>
            <w:tcBorders>
              <w:right w:val="double" w:sz="4" w:space="0" w:color="auto"/>
            </w:tcBorders>
            <w:vAlign w:val="center"/>
          </w:tcPr>
          <w:p w14:paraId="03F980F9" w14:textId="6455F5C5" w:rsidR="00392872" w:rsidRDefault="003D22E7" w:rsidP="00C30FF0">
            <w:pPr>
              <w:pStyle w:val="ListParagraph"/>
              <w:ind w:left="0"/>
              <w:rPr>
                <w:rFonts w:cs="Arial"/>
              </w:rPr>
            </w:pPr>
            <w:r>
              <w:rPr>
                <w:rFonts w:cs="Arial"/>
              </w:rPr>
              <w:t>Revised materials references.</w:t>
            </w:r>
          </w:p>
        </w:tc>
      </w:tr>
      <w:tr w:rsidR="003D22E7" w:rsidRPr="000F2859" w14:paraId="417963D9" w14:textId="77777777" w:rsidTr="003D22E7">
        <w:trPr>
          <w:cantSplit/>
        </w:trPr>
        <w:tc>
          <w:tcPr>
            <w:tcW w:w="1695" w:type="dxa"/>
            <w:tcBorders>
              <w:left w:val="double" w:sz="4" w:space="0" w:color="auto"/>
            </w:tcBorders>
            <w:vAlign w:val="center"/>
          </w:tcPr>
          <w:p w14:paraId="4DB1E310" w14:textId="1FE6800C" w:rsidR="003D22E7" w:rsidRDefault="003D22E7" w:rsidP="00C30FF0">
            <w:pPr>
              <w:rPr>
                <w:rFonts w:cs="Arial"/>
              </w:rPr>
            </w:pPr>
            <w:r>
              <w:rPr>
                <w:rFonts w:cs="Arial"/>
              </w:rPr>
              <w:t>311.0</w:t>
            </w:r>
            <w:r w:rsidR="00233590">
              <w:rPr>
                <w:rFonts w:cs="Arial"/>
              </w:rPr>
              <w:t>7</w:t>
            </w:r>
          </w:p>
        </w:tc>
        <w:tc>
          <w:tcPr>
            <w:tcW w:w="1387" w:type="dxa"/>
            <w:vAlign w:val="center"/>
          </w:tcPr>
          <w:p w14:paraId="3C60C7E3" w14:textId="319DFD6B" w:rsidR="003D22E7" w:rsidRDefault="003D22E7" w:rsidP="00C30FF0">
            <w:pPr>
              <w:rPr>
                <w:rFonts w:cs="Arial"/>
              </w:rPr>
            </w:pPr>
            <w:r>
              <w:rPr>
                <w:rFonts w:cs="Arial"/>
              </w:rPr>
              <w:t>01 NOV 2024</w:t>
            </w:r>
          </w:p>
        </w:tc>
        <w:tc>
          <w:tcPr>
            <w:tcW w:w="6248" w:type="dxa"/>
            <w:tcBorders>
              <w:right w:val="double" w:sz="4" w:space="0" w:color="auto"/>
            </w:tcBorders>
            <w:vAlign w:val="center"/>
          </w:tcPr>
          <w:p w14:paraId="67E11898" w14:textId="6E9851AC" w:rsidR="003D22E7" w:rsidRDefault="00233590" w:rsidP="00C30FF0">
            <w:pPr>
              <w:pStyle w:val="ListParagraph"/>
              <w:ind w:left="0"/>
              <w:rPr>
                <w:rFonts w:cs="Arial"/>
              </w:rPr>
            </w:pPr>
            <w:r>
              <w:rPr>
                <w:rFonts w:cs="Arial"/>
              </w:rPr>
              <w:t>Minor editorial revisions</w:t>
            </w:r>
          </w:p>
        </w:tc>
      </w:tr>
      <w:tr w:rsidR="00233590" w:rsidRPr="000F2859" w14:paraId="6A5DD265" w14:textId="77777777" w:rsidTr="003D22E7">
        <w:trPr>
          <w:cantSplit/>
        </w:trPr>
        <w:tc>
          <w:tcPr>
            <w:tcW w:w="1695" w:type="dxa"/>
            <w:tcBorders>
              <w:left w:val="double" w:sz="4" w:space="0" w:color="auto"/>
            </w:tcBorders>
            <w:vAlign w:val="center"/>
          </w:tcPr>
          <w:p w14:paraId="5DD26389" w14:textId="01F8166F" w:rsidR="00233590" w:rsidRDefault="00233590" w:rsidP="00C30FF0">
            <w:pPr>
              <w:rPr>
                <w:rFonts w:cs="Arial"/>
              </w:rPr>
            </w:pPr>
            <w:r>
              <w:rPr>
                <w:rFonts w:cs="Arial"/>
              </w:rPr>
              <w:lastRenderedPageBreak/>
              <w:t>311.08</w:t>
            </w:r>
          </w:p>
        </w:tc>
        <w:tc>
          <w:tcPr>
            <w:tcW w:w="1387" w:type="dxa"/>
            <w:vAlign w:val="center"/>
          </w:tcPr>
          <w:p w14:paraId="6B4174C7" w14:textId="3F2C3E4B" w:rsidR="00233590" w:rsidRDefault="00233590" w:rsidP="00C30FF0">
            <w:pPr>
              <w:rPr>
                <w:rFonts w:cs="Arial"/>
              </w:rPr>
            </w:pPr>
            <w:r>
              <w:rPr>
                <w:rFonts w:cs="Arial"/>
              </w:rPr>
              <w:t>01 NOV 2024</w:t>
            </w:r>
          </w:p>
        </w:tc>
        <w:tc>
          <w:tcPr>
            <w:tcW w:w="6248" w:type="dxa"/>
            <w:tcBorders>
              <w:right w:val="double" w:sz="4" w:space="0" w:color="auto"/>
            </w:tcBorders>
            <w:vAlign w:val="center"/>
          </w:tcPr>
          <w:p w14:paraId="7B8EC4A7" w14:textId="77777777" w:rsidR="007065E3" w:rsidRDefault="007065E3" w:rsidP="007065E3">
            <w:r>
              <w:t>Table 311-1 is revised for DAR Projects. Statistical Acceptance of the gradation, fractured faces, and liquid limits are changed from Category I to Category II.  This reduces the maximum possible pay factor for this work from 1.05 to 1.00 for DAR Projects.</w:t>
            </w:r>
          </w:p>
          <w:p w14:paraId="2F1B4549" w14:textId="77777777" w:rsidR="007065E3" w:rsidRDefault="007065E3" w:rsidP="007065E3"/>
          <w:p w14:paraId="4929F9B8" w14:textId="443DDCDB" w:rsidR="00233590" w:rsidRDefault="007065E3" w:rsidP="007065E3">
            <w:pPr>
              <w:pStyle w:val="ListParagraph"/>
              <w:ind w:left="0"/>
              <w:rPr>
                <w:rFonts w:cs="Arial"/>
              </w:rPr>
            </w:pPr>
            <w:r>
              <w:rPr>
                <w:rFonts w:cs="Arial"/>
              </w:rPr>
              <w:t>Two Table 311-1 are provided.  One for DAR Projects and one for projects that are not DAR Projects.</w:t>
            </w:r>
          </w:p>
        </w:tc>
      </w:tr>
      <w:tr w:rsidR="009B07C7" w:rsidRPr="000F2859" w14:paraId="18DB5902" w14:textId="77777777" w:rsidTr="003D22E7">
        <w:trPr>
          <w:cantSplit/>
        </w:trPr>
        <w:tc>
          <w:tcPr>
            <w:tcW w:w="1695" w:type="dxa"/>
            <w:tcBorders>
              <w:left w:val="double" w:sz="4" w:space="0" w:color="auto"/>
            </w:tcBorders>
            <w:vAlign w:val="center"/>
          </w:tcPr>
          <w:p w14:paraId="39DE7455" w14:textId="094DDBE8" w:rsidR="009B07C7" w:rsidRDefault="009B07C7" w:rsidP="00C30FF0">
            <w:pPr>
              <w:rPr>
                <w:rFonts w:cs="Arial"/>
              </w:rPr>
            </w:pPr>
            <w:r>
              <w:rPr>
                <w:rFonts w:cs="Arial"/>
              </w:rPr>
              <w:t>311.09</w:t>
            </w:r>
          </w:p>
        </w:tc>
        <w:tc>
          <w:tcPr>
            <w:tcW w:w="1387" w:type="dxa"/>
            <w:vAlign w:val="center"/>
          </w:tcPr>
          <w:p w14:paraId="2621A7C3" w14:textId="0EDF74B4" w:rsidR="009B07C7" w:rsidRDefault="009B07C7" w:rsidP="00C30FF0">
            <w:pPr>
              <w:rPr>
                <w:rFonts w:cs="Arial"/>
              </w:rPr>
            </w:pPr>
            <w:r>
              <w:rPr>
                <w:rFonts w:cs="Arial"/>
              </w:rPr>
              <w:t>01 NOV 2024</w:t>
            </w:r>
          </w:p>
        </w:tc>
        <w:tc>
          <w:tcPr>
            <w:tcW w:w="6248" w:type="dxa"/>
            <w:tcBorders>
              <w:right w:val="double" w:sz="4" w:space="0" w:color="auto"/>
            </w:tcBorders>
            <w:vAlign w:val="center"/>
          </w:tcPr>
          <w:p w14:paraId="742DB73B" w14:textId="4B3934A1" w:rsidR="009B07C7" w:rsidRDefault="009B07C7" w:rsidP="00C30FF0">
            <w:pPr>
              <w:pStyle w:val="ListParagraph"/>
              <w:ind w:left="0"/>
            </w:pPr>
            <w:r>
              <w:t xml:space="preserve">Measurement of water under Section </w:t>
            </w:r>
            <w:r w:rsidR="006F296B">
              <w:t>158 is</w:t>
            </w:r>
            <w:r>
              <w:t xml:space="preserve"> deleted. Section 158 measures water for dust control, not for compaction. Federal Lands does not measure water for compaction under any other Section of the contract. Water for compaction is historically subsidiary to earthwork construction.</w:t>
            </w:r>
          </w:p>
        </w:tc>
      </w:tr>
      <w:tr w:rsidR="004B54DD" w:rsidRPr="000F2859" w14:paraId="39542166"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12253AF9" w14:textId="0DD1284B" w:rsidR="004B54DD" w:rsidRDefault="00B2449E" w:rsidP="00405FBE">
            <w:pPr>
              <w:pStyle w:val="Heading2"/>
              <w:rPr>
                <w:lang w:val="fr-FR"/>
              </w:rPr>
            </w:pPr>
            <w:r>
              <w:rPr>
                <w:lang w:val="fr-FR"/>
              </w:rPr>
              <w:t>DIVISION 500</w:t>
            </w:r>
          </w:p>
        </w:tc>
      </w:tr>
      <w:tr w:rsidR="004B54DD" w:rsidRPr="00EE4E8D" w14:paraId="65C87709" w14:textId="77777777" w:rsidTr="006929CB">
        <w:trPr>
          <w:cantSplit/>
        </w:trPr>
        <w:tc>
          <w:tcPr>
            <w:tcW w:w="9330" w:type="dxa"/>
            <w:gridSpan w:val="3"/>
            <w:tcBorders>
              <w:top w:val="single" w:sz="6" w:space="0" w:color="000000"/>
              <w:left w:val="double" w:sz="4" w:space="0" w:color="auto"/>
              <w:bottom w:val="single" w:sz="6" w:space="0" w:color="000000"/>
              <w:right w:val="double" w:sz="4" w:space="0" w:color="auto"/>
            </w:tcBorders>
          </w:tcPr>
          <w:p w14:paraId="3228E43B" w14:textId="2217D3C5" w:rsidR="004B54DD" w:rsidRPr="00EE4E8D" w:rsidRDefault="004B54DD" w:rsidP="006929CB">
            <w:pPr>
              <w:pStyle w:val="Heading3"/>
            </w:pPr>
            <w:r>
              <w:t>Section 5</w:t>
            </w:r>
            <w:r w:rsidR="007118B6">
              <w:t>0</w:t>
            </w:r>
            <w:r w:rsidR="00B2449E">
              <w:t>1</w:t>
            </w:r>
            <w:r>
              <w:t xml:space="preserve"> – </w:t>
            </w:r>
            <w:r w:rsidR="00B2449E">
              <w:t>Minor Concrete Pavement</w:t>
            </w:r>
          </w:p>
        </w:tc>
      </w:tr>
      <w:tr w:rsidR="00B2449E" w:rsidRPr="00EE4E8D" w14:paraId="26351F23" w14:textId="77777777" w:rsidTr="006929CB">
        <w:trPr>
          <w:cantSplit/>
        </w:trPr>
        <w:tc>
          <w:tcPr>
            <w:tcW w:w="1695" w:type="dxa"/>
            <w:tcBorders>
              <w:left w:val="double" w:sz="4" w:space="0" w:color="auto"/>
            </w:tcBorders>
            <w:vAlign w:val="center"/>
          </w:tcPr>
          <w:p w14:paraId="10FE6558" w14:textId="38D7246E" w:rsidR="00B2449E" w:rsidRDefault="00B2449E" w:rsidP="006929CB">
            <w:pPr>
              <w:rPr>
                <w:rFonts w:cs="Arial"/>
              </w:rPr>
            </w:pPr>
            <w:r>
              <w:rPr>
                <w:rFonts w:cs="Arial"/>
              </w:rPr>
              <w:t>5</w:t>
            </w:r>
            <w:r w:rsidR="007118B6">
              <w:rPr>
                <w:rFonts w:cs="Arial"/>
              </w:rPr>
              <w:t>01.03</w:t>
            </w:r>
          </w:p>
        </w:tc>
        <w:tc>
          <w:tcPr>
            <w:tcW w:w="1387" w:type="dxa"/>
            <w:vAlign w:val="center"/>
          </w:tcPr>
          <w:p w14:paraId="0A82980B" w14:textId="77777777" w:rsidR="00B2449E" w:rsidRDefault="00B2449E" w:rsidP="006929CB">
            <w:pPr>
              <w:rPr>
                <w:rFonts w:cs="Arial"/>
              </w:rPr>
            </w:pPr>
            <w:r>
              <w:rPr>
                <w:rFonts w:cs="Arial"/>
              </w:rPr>
              <w:t>01 APR 2025</w:t>
            </w:r>
          </w:p>
        </w:tc>
        <w:tc>
          <w:tcPr>
            <w:tcW w:w="6248" w:type="dxa"/>
            <w:tcBorders>
              <w:right w:val="double" w:sz="4" w:space="0" w:color="auto"/>
            </w:tcBorders>
            <w:vAlign w:val="center"/>
          </w:tcPr>
          <w:p w14:paraId="4F0FA4E1" w14:textId="79CFDAD7" w:rsidR="00B2449E" w:rsidRDefault="00EF3435" w:rsidP="006929CB">
            <w:pPr>
              <w:rPr>
                <w:rFonts w:cs="Arial"/>
              </w:rPr>
            </w:pPr>
            <w:r>
              <w:t xml:space="preserve">Adds </w:t>
            </w:r>
            <w:r w:rsidR="000542D5">
              <w:t>form number and title for Minor Portland Cement Concrete Mix Design.</w:t>
            </w:r>
          </w:p>
        </w:tc>
      </w:tr>
      <w:tr w:rsidR="006C48CE" w:rsidRPr="000F2859" w14:paraId="4729BEB7"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44D1FED3" w14:textId="6180AEB3" w:rsidR="006C48CE" w:rsidRPr="000F2859" w:rsidRDefault="00D027D9" w:rsidP="00405FBE">
            <w:pPr>
              <w:pStyle w:val="Heading2"/>
              <w:rPr>
                <w:lang w:val="fr-FR"/>
              </w:rPr>
            </w:pPr>
            <w:r>
              <w:rPr>
                <w:lang w:val="fr-FR"/>
              </w:rPr>
              <w:t>DIVISION 550</w:t>
            </w:r>
          </w:p>
        </w:tc>
      </w:tr>
      <w:tr w:rsidR="004F26D6" w:rsidRPr="00EE4E8D" w14:paraId="6272DF25" w14:textId="77777777" w:rsidTr="006929CB">
        <w:trPr>
          <w:cantSplit/>
        </w:trPr>
        <w:tc>
          <w:tcPr>
            <w:tcW w:w="9330" w:type="dxa"/>
            <w:gridSpan w:val="3"/>
            <w:tcBorders>
              <w:top w:val="single" w:sz="6" w:space="0" w:color="000000"/>
              <w:left w:val="double" w:sz="4" w:space="0" w:color="auto"/>
              <w:bottom w:val="single" w:sz="6" w:space="0" w:color="000000"/>
              <w:right w:val="double" w:sz="4" w:space="0" w:color="auto"/>
            </w:tcBorders>
          </w:tcPr>
          <w:p w14:paraId="11180B36" w14:textId="59A358C4" w:rsidR="004F26D6" w:rsidRPr="00EE4E8D" w:rsidRDefault="004F26D6" w:rsidP="006929CB">
            <w:pPr>
              <w:pStyle w:val="Heading3"/>
            </w:pPr>
            <w:r>
              <w:t>Section 55</w:t>
            </w:r>
            <w:r w:rsidR="00A67719">
              <w:t>4</w:t>
            </w:r>
            <w:r>
              <w:t xml:space="preserve"> – </w:t>
            </w:r>
            <w:r w:rsidR="00A67719">
              <w:t xml:space="preserve">Reinforcing </w:t>
            </w:r>
            <w:r>
              <w:t>Steel</w:t>
            </w:r>
          </w:p>
        </w:tc>
      </w:tr>
      <w:tr w:rsidR="004F26D6" w:rsidRPr="00EE4E8D" w14:paraId="04ED1ABA" w14:textId="77777777" w:rsidTr="006929CB">
        <w:trPr>
          <w:cantSplit/>
        </w:trPr>
        <w:tc>
          <w:tcPr>
            <w:tcW w:w="1695" w:type="dxa"/>
            <w:tcBorders>
              <w:left w:val="double" w:sz="4" w:space="0" w:color="auto"/>
            </w:tcBorders>
            <w:vAlign w:val="center"/>
          </w:tcPr>
          <w:p w14:paraId="6BE7880C" w14:textId="7031E99B" w:rsidR="004F26D6" w:rsidRDefault="004F26D6" w:rsidP="006929CB">
            <w:pPr>
              <w:rPr>
                <w:rFonts w:cs="Arial"/>
              </w:rPr>
            </w:pPr>
            <w:r>
              <w:rPr>
                <w:rFonts w:cs="Arial"/>
              </w:rPr>
              <w:t>55</w:t>
            </w:r>
            <w:r w:rsidR="00122736">
              <w:rPr>
                <w:rFonts w:cs="Arial"/>
              </w:rPr>
              <w:t>4.08</w:t>
            </w:r>
          </w:p>
        </w:tc>
        <w:tc>
          <w:tcPr>
            <w:tcW w:w="1387" w:type="dxa"/>
            <w:vAlign w:val="center"/>
          </w:tcPr>
          <w:p w14:paraId="2C5B2CFF" w14:textId="46481490" w:rsidR="004F26D6" w:rsidRDefault="00122736" w:rsidP="006929CB">
            <w:pPr>
              <w:rPr>
                <w:rFonts w:cs="Arial"/>
              </w:rPr>
            </w:pPr>
            <w:r>
              <w:rPr>
                <w:rFonts w:cs="Arial"/>
              </w:rPr>
              <w:t>01 APR 2025</w:t>
            </w:r>
          </w:p>
        </w:tc>
        <w:tc>
          <w:tcPr>
            <w:tcW w:w="6248" w:type="dxa"/>
            <w:tcBorders>
              <w:right w:val="double" w:sz="4" w:space="0" w:color="auto"/>
            </w:tcBorders>
            <w:vAlign w:val="center"/>
          </w:tcPr>
          <w:p w14:paraId="40D9F732" w14:textId="25A3E7CE" w:rsidR="004F26D6" w:rsidRDefault="000864A3" w:rsidP="006929CB">
            <w:pPr>
              <w:rPr>
                <w:rFonts w:cs="Arial"/>
              </w:rPr>
            </w:pPr>
            <w:r>
              <w:t>Corrects a</w:t>
            </w:r>
            <w:r w:rsidR="00D32DBE">
              <w:t xml:space="preserve">n </w:t>
            </w:r>
            <w:r>
              <w:t xml:space="preserve">error in the FP-24.  Revises </w:t>
            </w:r>
            <w:r w:rsidR="00D13EEC">
              <w:t xml:space="preserve">vertical </w:t>
            </w:r>
            <w:r>
              <w:t>tolerance for placing reinforcing steel in deck slabs.</w:t>
            </w:r>
          </w:p>
        </w:tc>
      </w:tr>
      <w:tr w:rsidR="008D7B04" w:rsidRPr="00EE4E8D" w14:paraId="5B9BA40B" w14:textId="77777777" w:rsidTr="008D7B04">
        <w:trPr>
          <w:cantSplit/>
        </w:trPr>
        <w:tc>
          <w:tcPr>
            <w:tcW w:w="9330" w:type="dxa"/>
            <w:gridSpan w:val="3"/>
            <w:tcBorders>
              <w:top w:val="single" w:sz="6" w:space="0" w:color="000000"/>
              <w:left w:val="double" w:sz="4" w:space="0" w:color="auto"/>
              <w:bottom w:val="single" w:sz="6" w:space="0" w:color="000000"/>
              <w:right w:val="double" w:sz="4" w:space="0" w:color="auto"/>
            </w:tcBorders>
          </w:tcPr>
          <w:p w14:paraId="35E2DF41" w14:textId="6DE5DC4D" w:rsidR="008D7B04" w:rsidRPr="00EE4E8D" w:rsidRDefault="008D7B04" w:rsidP="00C30FF0">
            <w:pPr>
              <w:pStyle w:val="Heading3"/>
            </w:pPr>
            <w:r>
              <w:t>Section 555 – Steel Structures</w:t>
            </w:r>
          </w:p>
        </w:tc>
      </w:tr>
      <w:tr w:rsidR="008D7B04" w:rsidRPr="00EE4E8D" w14:paraId="6FD8E93B" w14:textId="77777777" w:rsidTr="003D22E7">
        <w:trPr>
          <w:cantSplit/>
        </w:trPr>
        <w:tc>
          <w:tcPr>
            <w:tcW w:w="1695" w:type="dxa"/>
            <w:tcBorders>
              <w:left w:val="double" w:sz="4" w:space="0" w:color="auto"/>
            </w:tcBorders>
            <w:vAlign w:val="center"/>
          </w:tcPr>
          <w:p w14:paraId="0AFC25DC" w14:textId="23DC2500" w:rsidR="008D7B04" w:rsidRDefault="008D7B04" w:rsidP="00C30FF0">
            <w:pPr>
              <w:rPr>
                <w:rFonts w:cs="Arial"/>
              </w:rPr>
            </w:pPr>
            <w:r>
              <w:rPr>
                <w:rFonts w:cs="Arial"/>
              </w:rPr>
              <w:t>555.16</w:t>
            </w:r>
            <w:r w:rsidR="00CD1A34">
              <w:rPr>
                <w:rFonts w:cs="Arial"/>
              </w:rPr>
              <w:t>(f)</w:t>
            </w:r>
            <w:r>
              <w:rPr>
                <w:rFonts w:cs="Arial"/>
              </w:rPr>
              <w:t>(7)</w:t>
            </w:r>
            <w:r w:rsidRPr="00594DBA">
              <w:rPr>
                <w:rFonts w:cs="Arial"/>
                <w:i/>
                <w:iCs/>
              </w:rPr>
              <w:t>(b)</w:t>
            </w:r>
          </w:p>
        </w:tc>
        <w:tc>
          <w:tcPr>
            <w:tcW w:w="1387" w:type="dxa"/>
            <w:vAlign w:val="center"/>
          </w:tcPr>
          <w:p w14:paraId="06452CA9" w14:textId="2E82B21C" w:rsidR="008D7B04" w:rsidRDefault="003D22E7" w:rsidP="00C30FF0">
            <w:pPr>
              <w:rPr>
                <w:rFonts w:cs="Arial"/>
              </w:rPr>
            </w:pPr>
            <w:r>
              <w:rPr>
                <w:rFonts w:cs="Arial"/>
              </w:rPr>
              <w:t>01 NOV 2024</w:t>
            </w:r>
          </w:p>
        </w:tc>
        <w:tc>
          <w:tcPr>
            <w:tcW w:w="6248" w:type="dxa"/>
            <w:tcBorders>
              <w:right w:val="double" w:sz="4" w:space="0" w:color="auto"/>
            </w:tcBorders>
            <w:vAlign w:val="center"/>
          </w:tcPr>
          <w:p w14:paraId="26CF0AAA" w14:textId="23DB7515" w:rsidR="008D7B04" w:rsidRDefault="008D7B04" w:rsidP="00C30FF0">
            <w:pPr>
              <w:rPr>
                <w:rFonts w:cs="Arial"/>
              </w:rPr>
            </w:pPr>
            <w:r>
              <w:t>This subsection is revised to delete alternate fasteners. As written, the specification would allow cont</w:t>
            </w:r>
            <w:r w:rsidR="006E3B5D">
              <w:t>r</w:t>
            </w:r>
            <w:r>
              <w:t>actors to skip torque verification when using twist-off type fasteners. We want torque to be verified unless the contractor uses Direct Tension Indicators (DTIs).</w:t>
            </w:r>
          </w:p>
        </w:tc>
      </w:tr>
      <w:tr w:rsidR="001976F3" w:rsidRPr="00EE4E8D" w14:paraId="3BD22F11" w14:textId="77777777" w:rsidTr="0018338A">
        <w:trPr>
          <w:cantSplit/>
        </w:trPr>
        <w:tc>
          <w:tcPr>
            <w:tcW w:w="9330" w:type="dxa"/>
            <w:gridSpan w:val="3"/>
            <w:tcBorders>
              <w:left w:val="double" w:sz="4" w:space="0" w:color="auto"/>
              <w:right w:val="double" w:sz="4" w:space="0" w:color="auto"/>
            </w:tcBorders>
            <w:vAlign w:val="center"/>
          </w:tcPr>
          <w:p w14:paraId="18E24733" w14:textId="77777777" w:rsidR="001976F3" w:rsidRPr="00EE4E8D" w:rsidRDefault="001976F3" w:rsidP="0018338A">
            <w:pPr>
              <w:pStyle w:val="Heading3"/>
            </w:pPr>
            <w:bookmarkStart w:id="10" w:name="_Hlk178149889"/>
            <w:r>
              <w:t xml:space="preserve">Section 560 – Removal of Concrete by </w:t>
            </w:r>
            <w:proofErr w:type="spellStart"/>
            <w:r>
              <w:t>Hydrodemolition</w:t>
            </w:r>
            <w:proofErr w:type="spellEnd"/>
          </w:p>
        </w:tc>
      </w:tr>
      <w:tr w:rsidR="001976F3" w:rsidRPr="00EE4E8D" w14:paraId="26BFBC00" w14:textId="77777777" w:rsidTr="0018338A">
        <w:trPr>
          <w:cantSplit/>
        </w:trPr>
        <w:tc>
          <w:tcPr>
            <w:tcW w:w="1695" w:type="dxa"/>
            <w:tcBorders>
              <w:left w:val="double" w:sz="4" w:space="0" w:color="auto"/>
            </w:tcBorders>
            <w:vAlign w:val="center"/>
          </w:tcPr>
          <w:p w14:paraId="09647A38" w14:textId="77777777" w:rsidR="001976F3" w:rsidRDefault="001976F3" w:rsidP="0018338A">
            <w:pPr>
              <w:rPr>
                <w:rFonts w:cs="Arial"/>
              </w:rPr>
            </w:pPr>
            <w:r>
              <w:rPr>
                <w:rFonts w:cs="Arial"/>
              </w:rPr>
              <w:t>560.04</w:t>
            </w:r>
          </w:p>
        </w:tc>
        <w:tc>
          <w:tcPr>
            <w:tcW w:w="1387" w:type="dxa"/>
            <w:vAlign w:val="center"/>
          </w:tcPr>
          <w:p w14:paraId="6EB15E0E" w14:textId="77777777" w:rsidR="001976F3" w:rsidRDefault="001976F3" w:rsidP="0018338A">
            <w:pPr>
              <w:rPr>
                <w:rFonts w:cs="Arial"/>
              </w:rPr>
            </w:pPr>
            <w:r>
              <w:rPr>
                <w:rFonts w:cs="Arial"/>
              </w:rPr>
              <w:t>01 APR 2025</w:t>
            </w:r>
          </w:p>
        </w:tc>
        <w:tc>
          <w:tcPr>
            <w:tcW w:w="6248" w:type="dxa"/>
            <w:tcBorders>
              <w:right w:val="double" w:sz="4" w:space="0" w:color="auto"/>
            </w:tcBorders>
            <w:vAlign w:val="center"/>
          </w:tcPr>
          <w:p w14:paraId="25722344" w14:textId="77777777" w:rsidR="001976F3" w:rsidRDefault="001976F3" w:rsidP="0018338A">
            <w:pPr>
              <w:rPr>
                <w:rFonts w:cs="Arial"/>
                <w:szCs w:val="20"/>
              </w:rPr>
            </w:pPr>
            <w:r>
              <w:rPr>
                <w:rFonts w:cs="Arial"/>
                <w:szCs w:val="20"/>
              </w:rPr>
              <w:t>Corrects a printing error in the FP-24.  Adds reference to Subsection 203.07.</w:t>
            </w:r>
          </w:p>
        </w:tc>
      </w:tr>
      <w:tr w:rsidR="00433208" w:rsidRPr="00EE4E8D" w14:paraId="6D6A271F" w14:textId="77777777" w:rsidTr="00C30FF0">
        <w:trPr>
          <w:cantSplit/>
        </w:trPr>
        <w:tc>
          <w:tcPr>
            <w:tcW w:w="9330" w:type="dxa"/>
            <w:gridSpan w:val="3"/>
            <w:tcBorders>
              <w:left w:val="double" w:sz="4" w:space="0" w:color="auto"/>
              <w:right w:val="double" w:sz="4" w:space="0" w:color="auto"/>
            </w:tcBorders>
            <w:vAlign w:val="center"/>
          </w:tcPr>
          <w:p w14:paraId="64D2288A" w14:textId="77777777" w:rsidR="00433208" w:rsidRPr="00EE4E8D" w:rsidRDefault="00433208" w:rsidP="00C30FF0">
            <w:pPr>
              <w:pStyle w:val="Heading3"/>
            </w:pPr>
            <w:r>
              <w:t>Section 563 - Coating</w:t>
            </w:r>
          </w:p>
        </w:tc>
      </w:tr>
      <w:tr w:rsidR="00611635" w:rsidRPr="00EE4E8D" w14:paraId="78D5B440" w14:textId="77777777" w:rsidTr="003D22E7">
        <w:trPr>
          <w:cantSplit/>
        </w:trPr>
        <w:tc>
          <w:tcPr>
            <w:tcW w:w="1695" w:type="dxa"/>
            <w:tcBorders>
              <w:left w:val="double" w:sz="4" w:space="0" w:color="auto"/>
            </w:tcBorders>
            <w:vAlign w:val="center"/>
          </w:tcPr>
          <w:p w14:paraId="72867CBD" w14:textId="37DDF720" w:rsidR="00611635" w:rsidRDefault="00611635" w:rsidP="00A622B1">
            <w:pPr>
              <w:rPr>
                <w:rFonts w:cs="Arial"/>
              </w:rPr>
            </w:pPr>
            <w:bookmarkStart w:id="11" w:name="_Hlk192849702"/>
            <w:bookmarkEnd w:id="10"/>
            <w:r>
              <w:rPr>
                <w:rFonts w:cs="Arial"/>
              </w:rPr>
              <w:t>563.02</w:t>
            </w:r>
          </w:p>
        </w:tc>
        <w:tc>
          <w:tcPr>
            <w:tcW w:w="1387" w:type="dxa"/>
            <w:vAlign w:val="center"/>
          </w:tcPr>
          <w:p w14:paraId="2C6C46E3" w14:textId="4A08993E" w:rsidR="00611635" w:rsidRDefault="00233590" w:rsidP="00A622B1">
            <w:pPr>
              <w:rPr>
                <w:rFonts w:cs="Arial"/>
              </w:rPr>
            </w:pPr>
            <w:r>
              <w:rPr>
                <w:rFonts w:cs="Arial"/>
              </w:rPr>
              <w:t>01 JUL 2024</w:t>
            </w:r>
          </w:p>
        </w:tc>
        <w:tc>
          <w:tcPr>
            <w:tcW w:w="6248" w:type="dxa"/>
            <w:tcBorders>
              <w:right w:val="double" w:sz="4" w:space="0" w:color="auto"/>
            </w:tcBorders>
            <w:vAlign w:val="center"/>
          </w:tcPr>
          <w:p w14:paraId="50E83F6A" w14:textId="52741789" w:rsidR="00611635" w:rsidRDefault="00611635" w:rsidP="00A622B1">
            <w:pPr>
              <w:rPr>
                <w:rFonts w:cs="Arial"/>
                <w:szCs w:val="20"/>
              </w:rPr>
            </w:pPr>
            <w:r>
              <w:rPr>
                <w:rFonts w:cs="Arial"/>
                <w:szCs w:val="20"/>
              </w:rPr>
              <w:t>Adds Weathering Agent to the materials list.</w:t>
            </w:r>
          </w:p>
        </w:tc>
      </w:tr>
      <w:bookmarkEnd w:id="11"/>
      <w:tr w:rsidR="00305100" w:rsidRPr="00EE4E8D" w14:paraId="538CD23D" w14:textId="77777777" w:rsidTr="006929CB">
        <w:trPr>
          <w:cantSplit/>
        </w:trPr>
        <w:tc>
          <w:tcPr>
            <w:tcW w:w="9330" w:type="dxa"/>
            <w:gridSpan w:val="3"/>
            <w:tcBorders>
              <w:left w:val="double" w:sz="4" w:space="0" w:color="auto"/>
              <w:right w:val="double" w:sz="4" w:space="0" w:color="auto"/>
            </w:tcBorders>
            <w:vAlign w:val="center"/>
          </w:tcPr>
          <w:p w14:paraId="005EE53C" w14:textId="0E228812" w:rsidR="00305100" w:rsidRPr="00EE4E8D" w:rsidRDefault="00305100" w:rsidP="006929CB">
            <w:pPr>
              <w:pStyle w:val="Heading3"/>
            </w:pPr>
            <w:r>
              <w:t>Section 5</w:t>
            </w:r>
            <w:r w:rsidR="00C319AA">
              <w:t>72</w:t>
            </w:r>
            <w:r>
              <w:t xml:space="preserve"> </w:t>
            </w:r>
            <w:r w:rsidR="00C319AA">
              <w:t>–</w:t>
            </w:r>
            <w:r>
              <w:t xml:space="preserve"> Co</w:t>
            </w:r>
            <w:r w:rsidR="00C319AA">
              <w:t>ncrete Repair</w:t>
            </w:r>
          </w:p>
        </w:tc>
      </w:tr>
      <w:tr w:rsidR="00305100" w:rsidRPr="00EE4E8D" w14:paraId="3576CC2A" w14:textId="77777777" w:rsidTr="006929CB">
        <w:trPr>
          <w:cantSplit/>
        </w:trPr>
        <w:tc>
          <w:tcPr>
            <w:tcW w:w="1695" w:type="dxa"/>
            <w:tcBorders>
              <w:left w:val="double" w:sz="4" w:space="0" w:color="auto"/>
            </w:tcBorders>
            <w:vAlign w:val="center"/>
          </w:tcPr>
          <w:p w14:paraId="4E735836" w14:textId="4D523EDA" w:rsidR="00305100" w:rsidRDefault="00305100" w:rsidP="006929CB">
            <w:pPr>
              <w:rPr>
                <w:rFonts w:cs="Arial"/>
              </w:rPr>
            </w:pPr>
            <w:r>
              <w:rPr>
                <w:rFonts w:cs="Arial"/>
              </w:rPr>
              <w:t>5</w:t>
            </w:r>
            <w:r w:rsidR="00A355AC">
              <w:rPr>
                <w:rFonts w:cs="Arial"/>
              </w:rPr>
              <w:t>72.06</w:t>
            </w:r>
          </w:p>
        </w:tc>
        <w:tc>
          <w:tcPr>
            <w:tcW w:w="1387" w:type="dxa"/>
            <w:vAlign w:val="center"/>
          </w:tcPr>
          <w:p w14:paraId="3A0BF213" w14:textId="022B682B" w:rsidR="00305100" w:rsidRDefault="00305100" w:rsidP="006929CB">
            <w:pPr>
              <w:rPr>
                <w:rFonts w:cs="Arial"/>
              </w:rPr>
            </w:pPr>
            <w:r>
              <w:rPr>
                <w:rFonts w:cs="Arial"/>
              </w:rPr>
              <w:t xml:space="preserve">01 </w:t>
            </w:r>
            <w:r w:rsidR="00A355AC">
              <w:rPr>
                <w:rFonts w:cs="Arial"/>
              </w:rPr>
              <w:t>APR 2025</w:t>
            </w:r>
          </w:p>
        </w:tc>
        <w:tc>
          <w:tcPr>
            <w:tcW w:w="6248" w:type="dxa"/>
            <w:tcBorders>
              <w:right w:val="double" w:sz="4" w:space="0" w:color="auto"/>
            </w:tcBorders>
            <w:vAlign w:val="center"/>
          </w:tcPr>
          <w:p w14:paraId="7752904D" w14:textId="52513EC1" w:rsidR="00305100" w:rsidRDefault="00305100" w:rsidP="006929CB">
            <w:pPr>
              <w:rPr>
                <w:rFonts w:cs="Arial"/>
                <w:szCs w:val="20"/>
              </w:rPr>
            </w:pPr>
            <w:r>
              <w:rPr>
                <w:rFonts w:cs="Arial"/>
                <w:szCs w:val="20"/>
              </w:rPr>
              <w:t xml:space="preserve">Adds </w:t>
            </w:r>
            <w:r w:rsidR="0098396C">
              <w:rPr>
                <w:rFonts w:cs="Arial"/>
                <w:szCs w:val="20"/>
              </w:rPr>
              <w:t>equipment requirements for power-driven hand tools.</w:t>
            </w:r>
          </w:p>
        </w:tc>
      </w:tr>
      <w:tr w:rsidR="00371144" w:rsidRPr="00EE4E8D" w14:paraId="6E8B7447" w14:textId="77777777" w:rsidTr="006929CB">
        <w:trPr>
          <w:cantSplit/>
        </w:trPr>
        <w:tc>
          <w:tcPr>
            <w:tcW w:w="9330" w:type="dxa"/>
            <w:gridSpan w:val="3"/>
            <w:tcBorders>
              <w:left w:val="double" w:sz="4" w:space="0" w:color="auto"/>
              <w:right w:val="double" w:sz="4" w:space="0" w:color="auto"/>
            </w:tcBorders>
            <w:vAlign w:val="center"/>
          </w:tcPr>
          <w:p w14:paraId="43B76ADD" w14:textId="2B8F64F5" w:rsidR="00371144" w:rsidRPr="00EE4E8D" w:rsidRDefault="00371144" w:rsidP="006929CB">
            <w:pPr>
              <w:pStyle w:val="Heading3"/>
            </w:pPr>
            <w:r>
              <w:t xml:space="preserve">Section 579 – </w:t>
            </w:r>
            <w:r w:rsidR="00C62E1F">
              <w:t>Minor Bridge Work</w:t>
            </w:r>
          </w:p>
        </w:tc>
      </w:tr>
      <w:tr w:rsidR="00371144" w:rsidRPr="00EE4E8D" w14:paraId="4D5723E9" w14:textId="77777777" w:rsidTr="006929CB">
        <w:trPr>
          <w:cantSplit/>
        </w:trPr>
        <w:tc>
          <w:tcPr>
            <w:tcW w:w="1695" w:type="dxa"/>
            <w:tcBorders>
              <w:left w:val="double" w:sz="4" w:space="0" w:color="auto"/>
            </w:tcBorders>
            <w:vAlign w:val="center"/>
          </w:tcPr>
          <w:p w14:paraId="76F8B962" w14:textId="3997D193" w:rsidR="00371144" w:rsidRDefault="00371144" w:rsidP="006929CB">
            <w:pPr>
              <w:rPr>
                <w:rFonts w:cs="Arial"/>
              </w:rPr>
            </w:pPr>
            <w:r>
              <w:rPr>
                <w:rFonts w:cs="Arial"/>
              </w:rPr>
              <w:t>57</w:t>
            </w:r>
            <w:r w:rsidR="00C62E1F">
              <w:rPr>
                <w:rFonts w:cs="Arial"/>
              </w:rPr>
              <w:t>9</w:t>
            </w:r>
          </w:p>
        </w:tc>
        <w:tc>
          <w:tcPr>
            <w:tcW w:w="1387" w:type="dxa"/>
            <w:vAlign w:val="center"/>
          </w:tcPr>
          <w:p w14:paraId="3EECCC87" w14:textId="77777777" w:rsidR="00371144" w:rsidRDefault="00371144" w:rsidP="006929CB">
            <w:pPr>
              <w:rPr>
                <w:rFonts w:cs="Arial"/>
              </w:rPr>
            </w:pPr>
            <w:r>
              <w:rPr>
                <w:rFonts w:cs="Arial"/>
              </w:rPr>
              <w:t>01 APR 2025</w:t>
            </w:r>
          </w:p>
        </w:tc>
        <w:tc>
          <w:tcPr>
            <w:tcW w:w="6248" w:type="dxa"/>
            <w:tcBorders>
              <w:right w:val="double" w:sz="4" w:space="0" w:color="auto"/>
            </w:tcBorders>
            <w:vAlign w:val="center"/>
          </w:tcPr>
          <w:p w14:paraId="1D6F2E7D" w14:textId="147D0D9A" w:rsidR="00371144" w:rsidRDefault="00371144" w:rsidP="006929CB">
            <w:pPr>
              <w:rPr>
                <w:rFonts w:cs="Arial"/>
                <w:szCs w:val="20"/>
              </w:rPr>
            </w:pPr>
            <w:r>
              <w:rPr>
                <w:rFonts w:cs="Arial"/>
                <w:szCs w:val="20"/>
              </w:rPr>
              <w:t xml:space="preserve">Adds </w:t>
            </w:r>
            <w:r w:rsidR="00C62E1F">
              <w:rPr>
                <w:rFonts w:cs="Arial"/>
                <w:szCs w:val="20"/>
              </w:rPr>
              <w:t>SCR Template for this work.</w:t>
            </w:r>
          </w:p>
        </w:tc>
      </w:tr>
      <w:tr w:rsidR="006C48CE" w:rsidRPr="000F2859" w14:paraId="36220FDC"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1A792F8E" w14:textId="6B455F45" w:rsidR="006C48CE" w:rsidRPr="000F2859" w:rsidRDefault="00D027D9" w:rsidP="00405FBE">
            <w:pPr>
              <w:pStyle w:val="Heading2"/>
              <w:rPr>
                <w:lang w:val="fr-FR"/>
              </w:rPr>
            </w:pPr>
            <w:r>
              <w:rPr>
                <w:lang w:val="fr-FR"/>
              </w:rPr>
              <w:t>DIVISION 600</w:t>
            </w:r>
          </w:p>
        </w:tc>
      </w:tr>
      <w:tr w:rsidR="000337FA" w:rsidRPr="00EE4E8D" w14:paraId="2502BA3A" w14:textId="77777777" w:rsidTr="00450104">
        <w:trPr>
          <w:cantSplit/>
        </w:trPr>
        <w:tc>
          <w:tcPr>
            <w:tcW w:w="9330" w:type="dxa"/>
            <w:gridSpan w:val="3"/>
            <w:tcBorders>
              <w:left w:val="double" w:sz="4" w:space="0" w:color="auto"/>
              <w:right w:val="double" w:sz="4" w:space="0" w:color="auto"/>
            </w:tcBorders>
            <w:vAlign w:val="center"/>
          </w:tcPr>
          <w:p w14:paraId="20D1A063" w14:textId="20E2B541" w:rsidR="000337FA" w:rsidRPr="00EE4E8D" w:rsidRDefault="000337FA" w:rsidP="000337FA">
            <w:pPr>
              <w:pStyle w:val="Heading3"/>
            </w:pPr>
            <w:r>
              <w:t>Section 6</w:t>
            </w:r>
            <w:r w:rsidR="00605E66">
              <w:t>28</w:t>
            </w:r>
            <w:r w:rsidRPr="00EE4E8D">
              <w:t xml:space="preserve"> </w:t>
            </w:r>
            <w:r w:rsidR="00AE1EDE">
              <w:t>-</w:t>
            </w:r>
            <w:r w:rsidRPr="00EE4E8D">
              <w:t xml:space="preserve"> </w:t>
            </w:r>
            <w:r>
              <w:t xml:space="preserve">Temporary </w:t>
            </w:r>
            <w:r w:rsidR="00605E66">
              <w:t>Stream Diversions</w:t>
            </w:r>
          </w:p>
        </w:tc>
      </w:tr>
      <w:tr w:rsidR="00605E66" w:rsidRPr="00EE4E8D" w14:paraId="2FA5412D" w14:textId="77777777" w:rsidTr="003D22E7">
        <w:trPr>
          <w:cantSplit/>
        </w:trPr>
        <w:tc>
          <w:tcPr>
            <w:tcW w:w="1695" w:type="dxa"/>
            <w:tcBorders>
              <w:left w:val="double" w:sz="4" w:space="0" w:color="auto"/>
            </w:tcBorders>
            <w:vAlign w:val="center"/>
          </w:tcPr>
          <w:p w14:paraId="36F51608" w14:textId="39CFF673" w:rsidR="00605E66" w:rsidRDefault="00605E66" w:rsidP="000337FA">
            <w:pPr>
              <w:rPr>
                <w:rFonts w:cs="Arial"/>
              </w:rPr>
            </w:pPr>
            <w:bookmarkStart w:id="12" w:name="_Hlk192850750"/>
            <w:bookmarkStart w:id="13" w:name="_Hlk178151160"/>
            <w:r>
              <w:rPr>
                <w:rFonts w:cs="Arial"/>
              </w:rPr>
              <w:t>628.05(d)</w:t>
            </w:r>
          </w:p>
        </w:tc>
        <w:tc>
          <w:tcPr>
            <w:tcW w:w="1387" w:type="dxa"/>
            <w:vAlign w:val="center"/>
          </w:tcPr>
          <w:p w14:paraId="735B0473" w14:textId="0B3FEF93" w:rsidR="00605E66" w:rsidRDefault="00233590" w:rsidP="000337FA">
            <w:pPr>
              <w:rPr>
                <w:rFonts w:cs="Arial"/>
              </w:rPr>
            </w:pPr>
            <w:r>
              <w:rPr>
                <w:rFonts w:cs="Arial"/>
              </w:rPr>
              <w:t>01 JUL 2024</w:t>
            </w:r>
          </w:p>
        </w:tc>
        <w:tc>
          <w:tcPr>
            <w:tcW w:w="6248" w:type="dxa"/>
            <w:tcBorders>
              <w:right w:val="double" w:sz="4" w:space="0" w:color="auto"/>
            </w:tcBorders>
            <w:vAlign w:val="center"/>
          </w:tcPr>
          <w:p w14:paraId="05C69DED" w14:textId="67AD7CCA" w:rsidR="00605E66" w:rsidRDefault="004036DE" w:rsidP="000337FA">
            <w:pPr>
              <w:rPr>
                <w:rFonts w:cs="Arial"/>
              </w:rPr>
            </w:pPr>
            <w:r>
              <w:rPr>
                <w:rFonts w:cs="Arial"/>
              </w:rPr>
              <w:t>Corrects an error in the FP-24</w:t>
            </w:r>
            <w:r w:rsidR="00D32DBE">
              <w:rPr>
                <w:rFonts w:cs="Arial"/>
              </w:rPr>
              <w:t xml:space="preserve">. </w:t>
            </w:r>
            <w:r w:rsidR="00605E66">
              <w:rPr>
                <w:rFonts w:cs="Arial"/>
              </w:rPr>
              <w:t>Changed intake screen from minimum 3/32 inch to maximum 3/32 inch</w:t>
            </w:r>
            <w:r w:rsidR="00F1011E">
              <w:rPr>
                <w:rFonts w:cs="Arial"/>
              </w:rPr>
              <w:t xml:space="preserve"> mesh.</w:t>
            </w:r>
          </w:p>
        </w:tc>
      </w:tr>
      <w:bookmarkEnd w:id="12"/>
      <w:tr w:rsidR="00F823C3" w:rsidRPr="00EE4E8D" w14:paraId="365FB184" w14:textId="77777777" w:rsidTr="006929CB">
        <w:trPr>
          <w:cantSplit/>
        </w:trPr>
        <w:tc>
          <w:tcPr>
            <w:tcW w:w="9330" w:type="dxa"/>
            <w:gridSpan w:val="3"/>
            <w:tcBorders>
              <w:left w:val="double" w:sz="4" w:space="0" w:color="auto"/>
              <w:right w:val="double" w:sz="4" w:space="0" w:color="auto"/>
            </w:tcBorders>
            <w:vAlign w:val="center"/>
          </w:tcPr>
          <w:p w14:paraId="484C68DD" w14:textId="0439C677" w:rsidR="00F823C3" w:rsidRPr="00EE4E8D" w:rsidRDefault="00F823C3" w:rsidP="006929CB">
            <w:pPr>
              <w:pStyle w:val="Heading3"/>
            </w:pPr>
            <w:r>
              <w:t>Section 6</w:t>
            </w:r>
            <w:r w:rsidR="005329BF">
              <w:t>35</w:t>
            </w:r>
            <w:r w:rsidRPr="00EE4E8D">
              <w:t xml:space="preserve"> </w:t>
            </w:r>
            <w:r>
              <w:t>-</w:t>
            </w:r>
            <w:r w:rsidRPr="00EE4E8D">
              <w:t xml:space="preserve"> </w:t>
            </w:r>
            <w:r>
              <w:t xml:space="preserve">Temporary </w:t>
            </w:r>
            <w:r w:rsidR="005329BF">
              <w:t>Traffic Control</w:t>
            </w:r>
          </w:p>
        </w:tc>
      </w:tr>
      <w:tr w:rsidR="00F823C3" w:rsidRPr="00EE4E8D" w14:paraId="5A4DC607" w14:textId="77777777" w:rsidTr="006929CB">
        <w:trPr>
          <w:cantSplit/>
        </w:trPr>
        <w:tc>
          <w:tcPr>
            <w:tcW w:w="1695" w:type="dxa"/>
            <w:tcBorders>
              <w:left w:val="double" w:sz="4" w:space="0" w:color="auto"/>
            </w:tcBorders>
            <w:vAlign w:val="center"/>
          </w:tcPr>
          <w:p w14:paraId="04B11BA8" w14:textId="048F4D94" w:rsidR="00F823C3" w:rsidRDefault="00F823C3" w:rsidP="006929CB">
            <w:pPr>
              <w:rPr>
                <w:rFonts w:cs="Arial"/>
              </w:rPr>
            </w:pPr>
            <w:bookmarkStart w:id="14" w:name="_Hlk192851807"/>
            <w:r>
              <w:rPr>
                <w:rFonts w:cs="Arial"/>
              </w:rPr>
              <w:t>6</w:t>
            </w:r>
            <w:r w:rsidR="00992D4B">
              <w:rPr>
                <w:rFonts w:cs="Arial"/>
              </w:rPr>
              <w:t>35</w:t>
            </w:r>
            <w:r w:rsidR="000622FA">
              <w:rPr>
                <w:rFonts w:cs="Arial"/>
              </w:rPr>
              <w:t>.25</w:t>
            </w:r>
          </w:p>
        </w:tc>
        <w:tc>
          <w:tcPr>
            <w:tcW w:w="1387" w:type="dxa"/>
            <w:vAlign w:val="center"/>
          </w:tcPr>
          <w:p w14:paraId="197EA060" w14:textId="59A01C3B" w:rsidR="00F823C3" w:rsidRDefault="00F823C3" w:rsidP="006929CB">
            <w:pPr>
              <w:rPr>
                <w:rFonts w:cs="Arial"/>
              </w:rPr>
            </w:pPr>
            <w:r>
              <w:rPr>
                <w:rFonts w:cs="Arial"/>
              </w:rPr>
              <w:t xml:space="preserve">01 </w:t>
            </w:r>
            <w:r w:rsidR="005D0FD4">
              <w:rPr>
                <w:rFonts w:cs="Arial"/>
              </w:rPr>
              <w:t>APR 2025</w:t>
            </w:r>
          </w:p>
        </w:tc>
        <w:tc>
          <w:tcPr>
            <w:tcW w:w="6248" w:type="dxa"/>
            <w:tcBorders>
              <w:right w:val="double" w:sz="4" w:space="0" w:color="auto"/>
            </w:tcBorders>
            <w:vAlign w:val="center"/>
          </w:tcPr>
          <w:p w14:paraId="29DB3A06" w14:textId="0CA2995E" w:rsidR="00F823C3" w:rsidRDefault="00000CDD" w:rsidP="006929CB">
            <w:pPr>
              <w:rPr>
                <w:rFonts w:cs="Arial"/>
              </w:rPr>
            </w:pPr>
            <w:r>
              <w:rPr>
                <w:rFonts w:cs="Arial"/>
              </w:rPr>
              <w:t>Corrects LOS error in the subsection numbering for Acceptance.</w:t>
            </w:r>
          </w:p>
        </w:tc>
      </w:tr>
      <w:tr w:rsidR="00000CDD" w:rsidRPr="00EE4E8D" w14:paraId="67CD42BA" w14:textId="77777777" w:rsidTr="006929CB">
        <w:trPr>
          <w:cantSplit/>
        </w:trPr>
        <w:tc>
          <w:tcPr>
            <w:tcW w:w="1695" w:type="dxa"/>
            <w:tcBorders>
              <w:left w:val="double" w:sz="4" w:space="0" w:color="auto"/>
            </w:tcBorders>
            <w:vAlign w:val="center"/>
          </w:tcPr>
          <w:p w14:paraId="5389846F" w14:textId="2A7BD58A" w:rsidR="00000CDD" w:rsidRDefault="00000CDD" w:rsidP="006929CB">
            <w:pPr>
              <w:rPr>
                <w:rFonts w:cs="Arial"/>
              </w:rPr>
            </w:pPr>
            <w:r>
              <w:rPr>
                <w:rFonts w:cs="Arial"/>
              </w:rPr>
              <w:t>635.26</w:t>
            </w:r>
          </w:p>
        </w:tc>
        <w:tc>
          <w:tcPr>
            <w:tcW w:w="1387" w:type="dxa"/>
            <w:vAlign w:val="center"/>
          </w:tcPr>
          <w:p w14:paraId="5DAA7927" w14:textId="77777777" w:rsidR="00000CDD" w:rsidRDefault="00000CDD" w:rsidP="006929CB">
            <w:pPr>
              <w:rPr>
                <w:rFonts w:cs="Arial"/>
              </w:rPr>
            </w:pPr>
            <w:r>
              <w:rPr>
                <w:rFonts w:cs="Arial"/>
              </w:rPr>
              <w:t>01 APR 2025</w:t>
            </w:r>
          </w:p>
        </w:tc>
        <w:tc>
          <w:tcPr>
            <w:tcW w:w="6248" w:type="dxa"/>
            <w:tcBorders>
              <w:right w:val="double" w:sz="4" w:space="0" w:color="auto"/>
            </w:tcBorders>
            <w:vAlign w:val="center"/>
          </w:tcPr>
          <w:p w14:paraId="6FF6BD68" w14:textId="4B0844CF" w:rsidR="00000CDD" w:rsidRDefault="00000CDD" w:rsidP="006929CB">
            <w:pPr>
              <w:rPr>
                <w:rFonts w:cs="Arial"/>
              </w:rPr>
            </w:pPr>
            <w:r>
              <w:rPr>
                <w:rFonts w:cs="Arial"/>
              </w:rPr>
              <w:t>Corrects LOS error in the subsection numbering for Measurement.</w:t>
            </w:r>
          </w:p>
        </w:tc>
      </w:tr>
      <w:bookmarkEnd w:id="14"/>
      <w:tr w:rsidR="006C48CE" w:rsidRPr="000F2859" w14:paraId="6BF62F25" w14:textId="77777777" w:rsidTr="00405FBE">
        <w:trPr>
          <w:cantSplit/>
        </w:trPr>
        <w:tc>
          <w:tcPr>
            <w:tcW w:w="9330" w:type="dxa"/>
            <w:gridSpan w:val="3"/>
            <w:tcBorders>
              <w:top w:val="single" w:sz="6" w:space="0" w:color="000000"/>
              <w:left w:val="double" w:sz="4" w:space="0" w:color="auto"/>
              <w:right w:val="double" w:sz="4" w:space="0" w:color="auto"/>
            </w:tcBorders>
            <w:shd w:val="clear" w:color="auto" w:fill="DDDDDD"/>
            <w:vAlign w:val="center"/>
          </w:tcPr>
          <w:p w14:paraId="22AD4329" w14:textId="7FE9BCCB" w:rsidR="006C48CE" w:rsidRPr="000F2859" w:rsidRDefault="00D027D9" w:rsidP="00405FBE">
            <w:pPr>
              <w:pStyle w:val="Heading2"/>
              <w:rPr>
                <w:lang w:val="fr-FR"/>
              </w:rPr>
            </w:pPr>
            <w:r>
              <w:rPr>
                <w:lang w:val="fr-FR"/>
              </w:rPr>
              <w:lastRenderedPageBreak/>
              <w:t>DIVISION 700</w:t>
            </w:r>
          </w:p>
        </w:tc>
      </w:tr>
      <w:tr w:rsidR="002B4E6C" w:rsidRPr="000F2859" w14:paraId="49741639" w14:textId="77777777" w:rsidTr="006929CB">
        <w:trPr>
          <w:cantSplit/>
        </w:trPr>
        <w:tc>
          <w:tcPr>
            <w:tcW w:w="9330" w:type="dxa"/>
            <w:gridSpan w:val="3"/>
            <w:tcBorders>
              <w:left w:val="double" w:sz="4" w:space="0" w:color="auto"/>
              <w:right w:val="double" w:sz="4" w:space="0" w:color="auto"/>
            </w:tcBorders>
            <w:vAlign w:val="center"/>
          </w:tcPr>
          <w:p w14:paraId="6181BE72" w14:textId="7E27B95A" w:rsidR="002B4E6C" w:rsidRPr="00563901" w:rsidRDefault="002B4E6C" w:rsidP="006929CB">
            <w:pPr>
              <w:pStyle w:val="Heading3"/>
            </w:pPr>
            <w:bookmarkStart w:id="15" w:name="_Hlk192836659"/>
            <w:bookmarkStart w:id="16" w:name="_Hlk83282482"/>
            <w:bookmarkEnd w:id="13"/>
            <w:r>
              <w:t>Section 7</w:t>
            </w:r>
            <w:r w:rsidR="006861F1">
              <w:t>03 - Aggregate</w:t>
            </w:r>
          </w:p>
        </w:tc>
      </w:tr>
      <w:tr w:rsidR="002B4E6C" w:rsidRPr="000F2859" w14:paraId="72A84C80" w14:textId="77777777" w:rsidTr="006929CB">
        <w:trPr>
          <w:cantSplit/>
        </w:trPr>
        <w:tc>
          <w:tcPr>
            <w:tcW w:w="1695" w:type="dxa"/>
            <w:tcBorders>
              <w:left w:val="double" w:sz="4" w:space="0" w:color="auto"/>
            </w:tcBorders>
            <w:vAlign w:val="center"/>
          </w:tcPr>
          <w:p w14:paraId="2A96CBE6" w14:textId="07AF34CC" w:rsidR="002B4E6C" w:rsidRDefault="002B4E6C" w:rsidP="006929CB">
            <w:pPr>
              <w:rPr>
                <w:rFonts w:cs="Arial"/>
              </w:rPr>
            </w:pPr>
            <w:r>
              <w:rPr>
                <w:rFonts w:cs="Arial"/>
              </w:rPr>
              <w:t>7</w:t>
            </w:r>
            <w:r w:rsidR="006861F1">
              <w:rPr>
                <w:rFonts w:cs="Arial"/>
              </w:rPr>
              <w:t>03.07</w:t>
            </w:r>
          </w:p>
        </w:tc>
        <w:tc>
          <w:tcPr>
            <w:tcW w:w="1387" w:type="dxa"/>
            <w:vAlign w:val="center"/>
          </w:tcPr>
          <w:p w14:paraId="76190082" w14:textId="2C58C89D" w:rsidR="002B4E6C" w:rsidRDefault="00521767" w:rsidP="006929CB">
            <w:pPr>
              <w:rPr>
                <w:rFonts w:cs="Arial"/>
              </w:rPr>
            </w:pPr>
            <w:r>
              <w:rPr>
                <w:rFonts w:cs="Arial"/>
              </w:rPr>
              <w:t>01 APR 2025</w:t>
            </w:r>
          </w:p>
        </w:tc>
        <w:tc>
          <w:tcPr>
            <w:tcW w:w="6248" w:type="dxa"/>
            <w:tcBorders>
              <w:right w:val="double" w:sz="4" w:space="0" w:color="auto"/>
            </w:tcBorders>
            <w:vAlign w:val="center"/>
          </w:tcPr>
          <w:p w14:paraId="38355FC8" w14:textId="585A8AE6" w:rsidR="002B4E6C" w:rsidRDefault="00442E88" w:rsidP="006929CB">
            <w:pPr>
              <w:rPr>
                <w:rFonts w:cs="Arial"/>
              </w:rPr>
            </w:pPr>
            <w:r>
              <w:rPr>
                <w:rFonts w:cs="Arial"/>
              </w:rPr>
              <w:t>Corrects LOS error in subsection numbering</w:t>
            </w:r>
            <w:r w:rsidR="009A5A31">
              <w:rPr>
                <w:rFonts w:cs="Arial"/>
              </w:rPr>
              <w:t xml:space="preserve"> for asphalt concrete aggregate.</w:t>
            </w:r>
          </w:p>
        </w:tc>
      </w:tr>
      <w:tr w:rsidR="005350BA" w:rsidRPr="000F2859" w14:paraId="28BC1FA8" w14:textId="77777777" w:rsidTr="006929CB">
        <w:trPr>
          <w:cantSplit/>
        </w:trPr>
        <w:tc>
          <w:tcPr>
            <w:tcW w:w="9330" w:type="dxa"/>
            <w:gridSpan w:val="3"/>
            <w:tcBorders>
              <w:left w:val="double" w:sz="4" w:space="0" w:color="auto"/>
              <w:right w:val="double" w:sz="4" w:space="0" w:color="auto"/>
            </w:tcBorders>
            <w:vAlign w:val="center"/>
          </w:tcPr>
          <w:p w14:paraId="2C50899D" w14:textId="26E9113B" w:rsidR="005350BA" w:rsidRPr="00563901" w:rsidRDefault="005350BA" w:rsidP="006929CB">
            <w:pPr>
              <w:pStyle w:val="Heading3"/>
            </w:pPr>
            <w:r>
              <w:t>Section 7</w:t>
            </w:r>
            <w:r w:rsidR="002448F2">
              <w:t>12</w:t>
            </w:r>
            <w:r>
              <w:t xml:space="preserve"> </w:t>
            </w:r>
            <w:r w:rsidR="003857DE">
              <w:t>–</w:t>
            </w:r>
            <w:r>
              <w:t xml:space="preserve"> </w:t>
            </w:r>
            <w:r w:rsidR="003857DE">
              <w:t>Joint Material</w:t>
            </w:r>
          </w:p>
        </w:tc>
      </w:tr>
      <w:tr w:rsidR="005350BA" w:rsidRPr="000F2859" w14:paraId="1B0686F3" w14:textId="77777777" w:rsidTr="006929CB">
        <w:trPr>
          <w:cantSplit/>
        </w:trPr>
        <w:tc>
          <w:tcPr>
            <w:tcW w:w="1695" w:type="dxa"/>
            <w:tcBorders>
              <w:left w:val="double" w:sz="4" w:space="0" w:color="auto"/>
            </w:tcBorders>
            <w:vAlign w:val="center"/>
          </w:tcPr>
          <w:p w14:paraId="54173EC8" w14:textId="29CBF111" w:rsidR="005350BA" w:rsidRDefault="005350BA" w:rsidP="006929CB">
            <w:pPr>
              <w:rPr>
                <w:rFonts w:cs="Arial"/>
              </w:rPr>
            </w:pPr>
            <w:r>
              <w:rPr>
                <w:rFonts w:cs="Arial"/>
              </w:rPr>
              <w:t>7</w:t>
            </w:r>
            <w:r w:rsidR="003857DE">
              <w:rPr>
                <w:rFonts w:cs="Arial"/>
              </w:rPr>
              <w:t>12.</w:t>
            </w:r>
            <w:r w:rsidR="009133EB">
              <w:rPr>
                <w:rFonts w:cs="Arial"/>
              </w:rPr>
              <w:t>01(h</w:t>
            </w:r>
            <w:r w:rsidR="008D4253">
              <w:rPr>
                <w:rFonts w:cs="Arial"/>
              </w:rPr>
              <w:t>)</w:t>
            </w:r>
          </w:p>
        </w:tc>
        <w:tc>
          <w:tcPr>
            <w:tcW w:w="1387" w:type="dxa"/>
            <w:vAlign w:val="center"/>
          </w:tcPr>
          <w:p w14:paraId="1AD054D4" w14:textId="77777777" w:rsidR="005350BA" w:rsidRDefault="005350BA" w:rsidP="006929CB">
            <w:pPr>
              <w:rPr>
                <w:rFonts w:cs="Arial"/>
              </w:rPr>
            </w:pPr>
            <w:r>
              <w:rPr>
                <w:rFonts w:cs="Arial"/>
              </w:rPr>
              <w:t>01 APR 2025</w:t>
            </w:r>
          </w:p>
        </w:tc>
        <w:tc>
          <w:tcPr>
            <w:tcW w:w="6248" w:type="dxa"/>
            <w:tcBorders>
              <w:right w:val="double" w:sz="4" w:space="0" w:color="auto"/>
            </w:tcBorders>
            <w:vAlign w:val="center"/>
          </w:tcPr>
          <w:p w14:paraId="4552F825" w14:textId="0B6B57BA" w:rsidR="005350BA" w:rsidRDefault="005350BA" w:rsidP="006929CB">
            <w:pPr>
              <w:rPr>
                <w:rFonts w:cs="Arial"/>
              </w:rPr>
            </w:pPr>
            <w:r>
              <w:rPr>
                <w:rFonts w:cs="Arial"/>
              </w:rPr>
              <w:t xml:space="preserve">Corrects </w:t>
            </w:r>
            <w:r w:rsidR="008D4253">
              <w:rPr>
                <w:rFonts w:cs="Arial"/>
              </w:rPr>
              <w:t xml:space="preserve">FP-24 </w:t>
            </w:r>
            <w:r w:rsidR="00726FDE">
              <w:rPr>
                <w:rFonts w:cs="Arial"/>
              </w:rPr>
              <w:t>formatting error</w:t>
            </w:r>
            <w:r w:rsidR="00172D33">
              <w:rPr>
                <w:rFonts w:cs="Arial"/>
              </w:rPr>
              <w:t xml:space="preserve"> for pre-compressed foam-supported silicone joint seal.</w:t>
            </w:r>
          </w:p>
        </w:tc>
      </w:tr>
      <w:tr w:rsidR="003857DE" w:rsidRPr="000F2859" w14:paraId="227AE930" w14:textId="77777777" w:rsidTr="006929CB">
        <w:trPr>
          <w:cantSplit/>
        </w:trPr>
        <w:tc>
          <w:tcPr>
            <w:tcW w:w="1695" w:type="dxa"/>
            <w:tcBorders>
              <w:left w:val="double" w:sz="4" w:space="0" w:color="auto"/>
            </w:tcBorders>
            <w:vAlign w:val="center"/>
          </w:tcPr>
          <w:p w14:paraId="1E17BFB5" w14:textId="300BD440" w:rsidR="003857DE" w:rsidRDefault="00E81BA4" w:rsidP="006929CB">
            <w:pPr>
              <w:rPr>
                <w:rFonts w:cs="Arial"/>
              </w:rPr>
            </w:pPr>
            <w:r>
              <w:rPr>
                <w:rFonts w:cs="Arial"/>
              </w:rPr>
              <w:t>712.01(i)</w:t>
            </w:r>
          </w:p>
        </w:tc>
        <w:tc>
          <w:tcPr>
            <w:tcW w:w="1387" w:type="dxa"/>
            <w:vAlign w:val="center"/>
          </w:tcPr>
          <w:p w14:paraId="10223F26" w14:textId="77C9AEA3" w:rsidR="003857DE" w:rsidRDefault="00A04D7F" w:rsidP="006929CB">
            <w:pPr>
              <w:rPr>
                <w:rFonts w:cs="Arial"/>
              </w:rPr>
            </w:pPr>
            <w:r>
              <w:rPr>
                <w:rFonts w:cs="Arial"/>
              </w:rPr>
              <w:t>01 APR 2025</w:t>
            </w:r>
          </w:p>
        </w:tc>
        <w:tc>
          <w:tcPr>
            <w:tcW w:w="6248" w:type="dxa"/>
            <w:tcBorders>
              <w:right w:val="double" w:sz="4" w:space="0" w:color="auto"/>
            </w:tcBorders>
            <w:vAlign w:val="center"/>
          </w:tcPr>
          <w:p w14:paraId="0CDD57B8" w14:textId="2146D41D" w:rsidR="003857DE" w:rsidRDefault="00A04D7F" w:rsidP="006929CB">
            <w:pPr>
              <w:rPr>
                <w:rFonts w:cs="Arial"/>
              </w:rPr>
            </w:pPr>
            <w:r>
              <w:rPr>
                <w:rFonts w:cs="Arial"/>
              </w:rPr>
              <w:t>Corrects FP-24 formatting error for pre-compressed foam-supported silicone joint seal.</w:t>
            </w:r>
          </w:p>
        </w:tc>
      </w:tr>
      <w:tr w:rsidR="00A04D7F" w:rsidRPr="000F2859" w14:paraId="34B97956" w14:textId="77777777" w:rsidTr="006929CB">
        <w:trPr>
          <w:cantSplit/>
        </w:trPr>
        <w:tc>
          <w:tcPr>
            <w:tcW w:w="1695" w:type="dxa"/>
            <w:tcBorders>
              <w:left w:val="double" w:sz="4" w:space="0" w:color="auto"/>
            </w:tcBorders>
            <w:vAlign w:val="center"/>
          </w:tcPr>
          <w:p w14:paraId="06538A8C" w14:textId="3827E79D" w:rsidR="00A04D7F" w:rsidRDefault="00A04D7F" w:rsidP="006929CB">
            <w:pPr>
              <w:rPr>
                <w:rFonts w:cs="Arial"/>
              </w:rPr>
            </w:pPr>
            <w:r>
              <w:rPr>
                <w:rFonts w:cs="Arial"/>
              </w:rPr>
              <w:t>712.01(</w:t>
            </w:r>
            <w:r w:rsidR="00A260EF">
              <w:rPr>
                <w:rFonts w:cs="Arial"/>
              </w:rPr>
              <w:t>k)</w:t>
            </w:r>
          </w:p>
        </w:tc>
        <w:tc>
          <w:tcPr>
            <w:tcW w:w="1387" w:type="dxa"/>
            <w:vAlign w:val="center"/>
          </w:tcPr>
          <w:p w14:paraId="4DF6DD86" w14:textId="51BBD032" w:rsidR="00A04D7F" w:rsidRDefault="0009027A" w:rsidP="006929CB">
            <w:pPr>
              <w:rPr>
                <w:rFonts w:cs="Arial"/>
              </w:rPr>
            </w:pPr>
            <w:r>
              <w:rPr>
                <w:rFonts w:cs="Arial"/>
              </w:rPr>
              <w:t>01 APR 2025</w:t>
            </w:r>
          </w:p>
        </w:tc>
        <w:tc>
          <w:tcPr>
            <w:tcW w:w="6248" w:type="dxa"/>
            <w:tcBorders>
              <w:right w:val="double" w:sz="4" w:space="0" w:color="auto"/>
            </w:tcBorders>
            <w:vAlign w:val="center"/>
          </w:tcPr>
          <w:p w14:paraId="129D39A7" w14:textId="7224127C" w:rsidR="00A04D7F" w:rsidRDefault="003C7BB6" w:rsidP="006929CB">
            <w:pPr>
              <w:rPr>
                <w:rFonts w:cs="Arial"/>
              </w:rPr>
            </w:pPr>
            <w:r>
              <w:rPr>
                <w:rFonts w:cs="Arial"/>
              </w:rPr>
              <w:t>Corrects LOS subsection numbering error for expanded polyethylene</w:t>
            </w:r>
            <w:r w:rsidR="00F80EC3">
              <w:rPr>
                <w:rFonts w:cs="Arial"/>
              </w:rPr>
              <w:t>.</w:t>
            </w:r>
          </w:p>
        </w:tc>
      </w:tr>
      <w:tr w:rsidR="00AA7878" w:rsidRPr="000F2859" w14:paraId="577F3938" w14:textId="77777777" w:rsidTr="00C30FF0">
        <w:trPr>
          <w:cantSplit/>
        </w:trPr>
        <w:tc>
          <w:tcPr>
            <w:tcW w:w="9330" w:type="dxa"/>
            <w:gridSpan w:val="3"/>
            <w:tcBorders>
              <w:left w:val="double" w:sz="4" w:space="0" w:color="auto"/>
              <w:right w:val="double" w:sz="4" w:space="0" w:color="auto"/>
            </w:tcBorders>
            <w:vAlign w:val="center"/>
          </w:tcPr>
          <w:p w14:paraId="0887A986" w14:textId="2AD2697F" w:rsidR="00AA7878" w:rsidRPr="00563901" w:rsidRDefault="00AA7878" w:rsidP="00C30FF0">
            <w:pPr>
              <w:pStyle w:val="Heading3"/>
            </w:pPr>
            <w:r>
              <w:t>Section 714 - Geosynthetic Material</w:t>
            </w:r>
          </w:p>
        </w:tc>
      </w:tr>
      <w:tr w:rsidR="00AA7878" w:rsidRPr="000F2859" w14:paraId="541971DB" w14:textId="77777777" w:rsidTr="003D22E7">
        <w:trPr>
          <w:cantSplit/>
        </w:trPr>
        <w:tc>
          <w:tcPr>
            <w:tcW w:w="1695" w:type="dxa"/>
            <w:tcBorders>
              <w:left w:val="double" w:sz="4" w:space="0" w:color="auto"/>
            </w:tcBorders>
            <w:vAlign w:val="center"/>
          </w:tcPr>
          <w:p w14:paraId="1BE4D98D" w14:textId="0E1A27FC" w:rsidR="00AA7878" w:rsidRDefault="00AA7878" w:rsidP="00C30FF0">
            <w:pPr>
              <w:rPr>
                <w:rFonts w:cs="Arial"/>
              </w:rPr>
            </w:pPr>
            <w:bookmarkStart w:id="17" w:name="_Hlk192836619"/>
            <w:bookmarkEnd w:id="15"/>
            <w:r>
              <w:rPr>
                <w:rFonts w:cs="Arial"/>
              </w:rPr>
              <w:t>714.01(c)</w:t>
            </w:r>
          </w:p>
        </w:tc>
        <w:tc>
          <w:tcPr>
            <w:tcW w:w="1387" w:type="dxa"/>
            <w:vAlign w:val="center"/>
          </w:tcPr>
          <w:p w14:paraId="357AAAFA" w14:textId="3C7804BC" w:rsidR="00AA7878" w:rsidRDefault="003D22E7" w:rsidP="00C30FF0">
            <w:pPr>
              <w:rPr>
                <w:rFonts w:cs="Arial"/>
              </w:rPr>
            </w:pPr>
            <w:r>
              <w:rPr>
                <w:rFonts w:cs="Arial"/>
              </w:rPr>
              <w:t>01 NOV 2024</w:t>
            </w:r>
          </w:p>
        </w:tc>
        <w:tc>
          <w:tcPr>
            <w:tcW w:w="6248" w:type="dxa"/>
            <w:tcBorders>
              <w:right w:val="double" w:sz="4" w:space="0" w:color="auto"/>
            </w:tcBorders>
            <w:vAlign w:val="center"/>
          </w:tcPr>
          <w:p w14:paraId="3DFDFE81" w14:textId="301EB12C" w:rsidR="00AA7878" w:rsidRDefault="00AA7878" w:rsidP="00C30FF0">
            <w:pPr>
              <w:rPr>
                <w:rFonts w:cs="Arial"/>
              </w:rPr>
            </w:pPr>
            <w:r w:rsidRPr="00AA7878">
              <w:rPr>
                <w:rFonts w:cs="Arial"/>
              </w:rPr>
              <w:t>This new SCR is needed because Section 714 of the FP no longer specifies the strength and durability properties of geosynthetic materials.  A project specific SCR is required to specify the minimum permittivity and maximum apparent opening size of geotextile filters based on the gradation of the in-situ soil.</w:t>
            </w:r>
          </w:p>
        </w:tc>
      </w:tr>
      <w:bookmarkEnd w:id="17"/>
      <w:tr w:rsidR="00CD2B58" w:rsidRPr="000F2859" w14:paraId="14C59271" w14:textId="77777777" w:rsidTr="003D22E7">
        <w:trPr>
          <w:cantSplit/>
        </w:trPr>
        <w:tc>
          <w:tcPr>
            <w:tcW w:w="1695" w:type="dxa"/>
            <w:tcBorders>
              <w:left w:val="double" w:sz="4" w:space="0" w:color="auto"/>
            </w:tcBorders>
            <w:vAlign w:val="center"/>
          </w:tcPr>
          <w:p w14:paraId="31C92FBC" w14:textId="459483CE" w:rsidR="00CD2B58" w:rsidRDefault="0069119A" w:rsidP="00C30FF0">
            <w:pPr>
              <w:rPr>
                <w:rFonts w:cs="Arial"/>
              </w:rPr>
            </w:pPr>
            <w:r>
              <w:rPr>
                <w:rFonts w:cs="Arial"/>
              </w:rPr>
              <w:t>714.01(d)</w:t>
            </w:r>
          </w:p>
        </w:tc>
        <w:tc>
          <w:tcPr>
            <w:tcW w:w="1387" w:type="dxa"/>
            <w:vAlign w:val="center"/>
          </w:tcPr>
          <w:p w14:paraId="0E390A01" w14:textId="4757AE3A" w:rsidR="00CD2B58" w:rsidRDefault="0069119A" w:rsidP="00C30FF0">
            <w:pPr>
              <w:rPr>
                <w:rFonts w:cs="Arial"/>
              </w:rPr>
            </w:pPr>
            <w:r>
              <w:rPr>
                <w:rFonts w:cs="Arial"/>
              </w:rPr>
              <w:t>01 APR 2025</w:t>
            </w:r>
          </w:p>
        </w:tc>
        <w:tc>
          <w:tcPr>
            <w:tcW w:w="6248" w:type="dxa"/>
            <w:tcBorders>
              <w:right w:val="double" w:sz="4" w:space="0" w:color="auto"/>
            </w:tcBorders>
            <w:vAlign w:val="center"/>
          </w:tcPr>
          <w:p w14:paraId="3D417F83" w14:textId="24008257" w:rsidR="00CD2B58" w:rsidRPr="00AA7878" w:rsidRDefault="003012D1" w:rsidP="00C30FF0">
            <w:pPr>
              <w:rPr>
                <w:rFonts w:cs="Arial"/>
              </w:rPr>
            </w:pPr>
            <w:r>
              <w:rPr>
                <w:rFonts w:cs="Arial"/>
              </w:rPr>
              <w:t>Revised</w:t>
            </w:r>
            <w:r w:rsidR="00A66F6C">
              <w:rPr>
                <w:rFonts w:cs="Arial"/>
              </w:rPr>
              <w:t xml:space="preserve"> </w:t>
            </w:r>
            <w:r>
              <w:rPr>
                <w:rFonts w:cs="Arial"/>
              </w:rPr>
              <w:t xml:space="preserve">AASHTO </w:t>
            </w:r>
            <w:r w:rsidR="00A66F6C">
              <w:rPr>
                <w:rFonts w:cs="Arial"/>
              </w:rPr>
              <w:t>M 288 to AASHTO M 355</w:t>
            </w:r>
            <w:r w:rsidR="00695CEA">
              <w:rPr>
                <w:rFonts w:cs="Arial"/>
              </w:rPr>
              <w:t xml:space="preserve"> because AASH</w:t>
            </w:r>
            <w:r w:rsidR="00CC6222">
              <w:rPr>
                <w:rFonts w:cs="Arial"/>
              </w:rPr>
              <w:t>T</w:t>
            </w:r>
            <w:r w:rsidR="00695CEA">
              <w:rPr>
                <w:rFonts w:cs="Arial"/>
              </w:rPr>
              <w:t>O changed their test methods.</w:t>
            </w:r>
          </w:p>
        </w:tc>
      </w:tr>
      <w:tr w:rsidR="00FC693B" w:rsidRPr="000F2859" w14:paraId="0BC9A2BA" w14:textId="77777777" w:rsidTr="003D22E7">
        <w:trPr>
          <w:cantSplit/>
        </w:trPr>
        <w:tc>
          <w:tcPr>
            <w:tcW w:w="1695" w:type="dxa"/>
            <w:tcBorders>
              <w:left w:val="double" w:sz="4" w:space="0" w:color="auto"/>
            </w:tcBorders>
            <w:vAlign w:val="center"/>
          </w:tcPr>
          <w:p w14:paraId="468A99DC" w14:textId="4A1BE49D" w:rsidR="00FC693B" w:rsidRDefault="000A1EC9" w:rsidP="00C30FF0">
            <w:pPr>
              <w:rPr>
                <w:rFonts w:cs="Arial"/>
              </w:rPr>
            </w:pPr>
            <w:r>
              <w:rPr>
                <w:rFonts w:cs="Arial"/>
              </w:rPr>
              <w:t>714.01(e)</w:t>
            </w:r>
          </w:p>
        </w:tc>
        <w:tc>
          <w:tcPr>
            <w:tcW w:w="1387" w:type="dxa"/>
            <w:vAlign w:val="center"/>
          </w:tcPr>
          <w:p w14:paraId="4E3D5BF8" w14:textId="6EC9D19D" w:rsidR="00FC693B" w:rsidRDefault="00F13493" w:rsidP="00C30FF0">
            <w:pPr>
              <w:rPr>
                <w:rFonts w:cs="Arial"/>
              </w:rPr>
            </w:pPr>
            <w:r>
              <w:rPr>
                <w:rFonts w:cs="Arial"/>
              </w:rPr>
              <w:t>01 APR 2025</w:t>
            </w:r>
          </w:p>
        </w:tc>
        <w:tc>
          <w:tcPr>
            <w:tcW w:w="6248" w:type="dxa"/>
            <w:tcBorders>
              <w:right w:val="double" w:sz="4" w:space="0" w:color="auto"/>
            </w:tcBorders>
            <w:vAlign w:val="center"/>
          </w:tcPr>
          <w:p w14:paraId="22FE2B23" w14:textId="359224F8" w:rsidR="00FC693B" w:rsidRDefault="00F73D2F" w:rsidP="00C30FF0">
            <w:r>
              <w:t>Revises</w:t>
            </w:r>
            <w:r w:rsidR="00650932">
              <w:t xml:space="preserve"> AA</w:t>
            </w:r>
            <w:r w:rsidR="00CC6222">
              <w:t>S</w:t>
            </w:r>
            <w:r w:rsidR="00650932">
              <w:t>HTO M</w:t>
            </w:r>
            <w:r w:rsidR="00C80F44">
              <w:t xml:space="preserve"> 288 </w:t>
            </w:r>
            <w:r w:rsidR="002C434F">
              <w:t xml:space="preserve">reference </w:t>
            </w:r>
            <w:r w:rsidR="00C80F44">
              <w:t>from Table 12 to Table 11.</w:t>
            </w:r>
          </w:p>
        </w:tc>
      </w:tr>
      <w:tr w:rsidR="00AA7878" w:rsidRPr="000F2859" w14:paraId="5954CCEF" w14:textId="77777777" w:rsidTr="003D22E7">
        <w:trPr>
          <w:cantSplit/>
        </w:trPr>
        <w:tc>
          <w:tcPr>
            <w:tcW w:w="1695" w:type="dxa"/>
            <w:tcBorders>
              <w:left w:val="double" w:sz="4" w:space="0" w:color="auto"/>
            </w:tcBorders>
            <w:vAlign w:val="center"/>
          </w:tcPr>
          <w:p w14:paraId="123477F5" w14:textId="7D72FE6E" w:rsidR="00AA7878" w:rsidRDefault="00AA7878" w:rsidP="00C30FF0">
            <w:pPr>
              <w:rPr>
                <w:rFonts w:cs="Arial"/>
              </w:rPr>
            </w:pPr>
            <w:r>
              <w:rPr>
                <w:rFonts w:cs="Arial"/>
              </w:rPr>
              <w:t>714.01(e)</w:t>
            </w:r>
          </w:p>
        </w:tc>
        <w:tc>
          <w:tcPr>
            <w:tcW w:w="1387" w:type="dxa"/>
            <w:vAlign w:val="center"/>
          </w:tcPr>
          <w:p w14:paraId="01EAA735" w14:textId="475E3B2D" w:rsidR="00AA7878" w:rsidRDefault="003D22E7" w:rsidP="00C30FF0">
            <w:pPr>
              <w:rPr>
                <w:rFonts w:cs="Arial"/>
              </w:rPr>
            </w:pPr>
            <w:r>
              <w:rPr>
                <w:rFonts w:cs="Arial"/>
              </w:rPr>
              <w:t>01 NOV 2024</w:t>
            </w:r>
          </w:p>
        </w:tc>
        <w:tc>
          <w:tcPr>
            <w:tcW w:w="6248" w:type="dxa"/>
            <w:tcBorders>
              <w:right w:val="double" w:sz="4" w:space="0" w:color="auto"/>
            </w:tcBorders>
            <w:vAlign w:val="center"/>
          </w:tcPr>
          <w:p w14:paraId="221D4E62" w14:textId="52D61BC7" w:rsidR="00AA7878" w:rsidRDefault="00AA7878" w:rsidP="00C30FF0">
            <w:pPr>
              <w:rPr>
                <w:rFonts w:cs="Arial"/>
              </w:rPr>
            </w:pPr>
            <w:r>
              <w:t>This new SCR is needed when very soft / weak subgrades require a product with higher reinforcement strength than a typical soil stabilization geotextile.</w:t>
            </w:r>
          </w:p>
        </w:tc>
      </w:tr>
      <w:tr w:rsidR="00FD4B90" w:rsidRPr="000F2859" w14:paraId="5115BEEC" w14:textId="77777777" w:rsidTr="003D22E7">
        <w:trPr>
          <w:cantSplit/>
        </w:trPr>
        <w:tc>
          <w:tcPr>
            <w:tcW w:w="1695" w:type="dxa"/>
            <w:tcBorders>
              <w:left w:val="double" w:sz="4" w:space="0" w:color="auto"/>
            </w:tcBorders>
            <w:vAlign w:val="center"/>
          </w:tcPr>
          <w:p w14:paraId="36C65BC5" w14:textId="74FF17A7" w:rsidR="00FD4B90" w:rsidRDefault="00FD4B90" w:rsidP="00C30FF0">
            <w:pPr>
              <w:rPr>
                <w:rFonts w:cs="Arial"/>
              </w:rPr>
            </w:pPr>
            <w:r>
              <w:rPr>
                <w:rFonts w:cs="Arial"/>
              </w:rPr>
              <w:t>714.03</w:t>
            </w:r>
          </w:p>
        </w:tc>
        <w:tc>
          <w:tcPr>
            <w:tcW w:w="1387" w:type="dxa"/>
            <w:vAlign w:val="center"/>
          </w:tcPr>
          <w:p w14:paraId="72BB5C6B" w14:textId="67F8A690" w:rsidR="00FD4B90" w:rsidRDefault="00FD4B90" w:rsidP="00C30FF0">
            <w:pPr>
              <w:rPr>
                <w:rFonts w:cs="Arial"/>
              </w:rPr>
            </w:pPr>
            <w:r>
              <w:rPr>
                <w:rFonts w:cs="Arial"/>
              </w:rPr>
              <w:t>01 APR 2025</w:t>
            </w:r>
          </w:p>
        </w:tc>
        <w:tc>
          <w:tcPr>
            <w:tcW w:w="6248" w:type="dxa"/>
            <w:tcBorders>
              <w:right w:val="double" w:sz="4" w:space="0" w:color="auto"/>
            </w:tcBorders>
            <w:vAlign w:val="center"/>
          </w:tcPr>
          <w:p w14:paraId="18D57C7E" w14:textId="3E9603EB" w:rsidR="00FD4B90" w:rsidRDefault="0011332B" w:rsidP="00C30FF0">
            <w:r>
              <w:t xml:space="preserve">Revises AASHTO M 288 </w:t>
            </w:r>
            <w:r w:rsidR="008D364A">
              <w:t xml:space="preserve">reference </w:t>
            </w:r>
            <w:r>
              <w:t>from Table 12 to Table 11.</w:t>
            </w:r>
          </w:p>
        </w:tc>
      </w:tr>
      <w:tr w:rsidR="000C1D26" w:rsidRPr="000F2859" w14:paraId="6598814B" w14:textId="77777777" w:rsidTr="003D22E7">
        <w:trPr>
          <w:cantSplit/>
        </w:trPr>
        <w:tc>
          <w:tcPr>
            <w:tcW w:w="1695" w:type="dxa"/>
            <w:tcBorders>
              <w:left w:val="double" w:sz="4" w:space="0" w:color="auto"/>
            </w:tcBorders>
            <w:vAlign w:val="center"/>
          </w:tcPr>
          <w:p w14:paraId="52524D40" w14:textId="0CA6AA12" w:rsidR="000C1D26" w:rsidRDefault="000C1D26" w:rsidP="00C30FF0">
            <w:pPr>
              <w:rPr>
                <w:rFonts w:cs="Arial"/>
              </w:rPr>
            </w:pPr>
            <w:r>
              <w:rPr>
                <w:rFonts w:cs="Arial"/>
              </w:rPr>
              <w:t>714.04</w:t>
            </w:r>
          </w:p>
        </w:tc>
        <w:tc>
          <w:tcPr>
            <w:tcW w:w="1387" w:type="dxa"/>
            <w:vAlign w:val="center"/>
          </w:tcPr>
          <w:p w14:paraId="3A6A7002" w14:textId="0A989ED6" w:rsidR="000C1D26" w:rsidRDefault="00D700A2" w:rsidP="00C30FF0">
            <w:pPr>
              <w:rPr>
                <w:rFonts w:cs="Arial"/>
              </w:rPr>
            </w:pPr>
            <w:r>
              <w:rPr>
                <w:rFonts w:cs="Arial"/>
              </w:rPr>
              <w:t>01 APR 2025</w:t>
            </w:r>
          </w:p>
        </w:tc>
        <w:tc>
          <w:tcPr>
            <w:tcW w:w="6248" w:type="dxa"/>
            <w:tcBorders>
              <w:right w:val="double" w:sz="4" w:space="0" w:color="auto"/>
            </w:tcBorders>
            <w:vAlign w:val="center"/>
          </w:tcPr>
          <w:p w14:paraId="2057DBD0" w14:textId="63778302" w:rsidR="000C1D26" w:rsidRDefault="00D700A2" w:rsidP="00C30FF0">
            <w:r>
              <w:t xml:space="preserve">Revises AASHTO M 288 </w:t>
            </w:r>
            <w:r w:rsidR="008D364A">
              <w:t xml:space="preserve">reference </w:t>
            </w:r>
            <w:r>
              <w:t>from Tables 9 and 10 to Tables 8 and 9 respectively.</w:t>
            </w:r>
          </w:p>
        </w:tc>
      </w:tr>
      <w:tr w:rsidR="009A3C89" w:rsidRPr="000F2859" w14:paraId="3361F58C" w14:textId="77777777" w:rsidTr="003D22E7">
        <w:trPr>
          <w:cantSplit/>
        </w:trPr>
        <w:tc>
          <w:tcPr>
            <w:tcW w:w="1695" w:type="dxa"/>
            <w:tcBorders>
              <w:left w:val="double" w:sz="4" w:space="0" w:color="auto"/>
            </w:tcBorders>
            <w:vAlign w:val="center"/>
          </w:tcPr>
          <w:p w14:paraId="17D9CBBE" w14:textId="191CDB6A" w:rsidR="009A3C89" w:rsidRDefault="009A3C89" w:rsidP="00C30FF0">
            <w:pPr>
              <w:rPr>
                <w:rFonts w:cs="Arial"/>
              </w:rPr>
            </w:pPr>
            <w:r>
              <w:rPr>
                <w:rFonts w:cs="Arial"/>
              </w:rPr>
              <w:t>714.06</w:t>
            </w:r>
          </w:p>
        </w:tc>
        <w:tc>
          <w:tcPr>
            <w:tcW w:w="1387" w:type="dxa"/>
            <w:vAlign w:val="center"/>
          </w:tcPr>
          <w:p w14:paraId="1969E954" w14:textId="161D67E6" w:rsidR="009A3C89" w:rsidRDefault="009A3C89" w:rsidP="00C30FF0">
            <w:pPr>
              <w:rPr>
                <w:rFonts w:cs="Arial"/>
              </w:rPr>
            </w:pPr>
            <w:r>
              <w:rPr>
                <w:rFonts w:cs="Arial"/>
              </w:rPr>
              <w:t>01 APR 2025</w:t>
            </w:r>
          </w:p>
        </w:tc>
        <w:tc>
          <w:tcPr>
            <w:tcW w:w="6248" w:type="dxa"/>
            <w:tcBorders>
              <w:right w:val="double" w:sz="4" w:space="0" w:color="auto"/>
            </w:tcBorders>
            <w:vAlign w:val="center"/>
          </w:tcPr>
          <w:p w14:paraId="0F2902ED" w14:textId="618DCB91" w:rsidR="009A3C89" w:rsidRDefault="009A3C89" w:rsidP="00C30FF0">
            <w:r>
              <w:t xml:space="preserve">Revises AASHTO M 288 </w:t>
            </w:r>
            <w:r w:rsidR="008D364A">
              <w:t xml:space="preserve">reference </w:t>
            </w:r>
            <w:r>
              <w:t xml:space="preserve">from Tables </w:t>
            </w:r>
            <w:r w:rsidR="0097330A">
              <w:t>9 and 10 to Tables 8 and 9 respectively.</w:t>
            </w:r>
          </w:p>
        </w:tc>
      </w:tr>
      <w:tr w:rsidR="00C445E5" w:rsidRPr="000F2859" w14:paraId="3A23640E" w14:textId="77777777" w:rsidTr="00A622B1">
        <w:trPr>
          <w:cantSplit/>
        </w:trPr>
        <w:tc>
          <w:tcPr>
            <w:tcW w:w="9330" w:type="dxa"/>
            <w:gridSpan w:val="3"/>
            <w:tcBorders>
              <w:left w:val="double" w:sz="4" w:space="0" w:color="auto"/>
              <w:right w:val="double" w:sz="4" w:space="0" w:color="auto"/>
            </w:tcBorders>
            <w:vAlign w:val="center"/>
          </w:tcPr>
          <w:p w14:paraId="2A05C355" w14:textId="3B437F50" w:rsidR="00C445E5" w:rsidRPr="00563901" w:rsidRDefault="00C445E5" w:rsidP="00A622B1">
            <w:pPr>
              <w:pStyle w:val="Heading3"/>
            </w:pPr>
            <w:r>
              <w:t xml:space="preserve">Section 725 </w:t>
            </w:r>
            <w:r w:rsidR="00AE1EDE">
              <w:t xml:space="preserve">- </w:t>
            </w:r>
            <w:r>
              <w:t>Miscellaneous Material</w:t>
            </w:r>
          </w:p>
        </w:tc>
      </w:tr>
      <w:tr w:rsidR="009B07C7" w:rsidRPr="000F2859" w14:paraId="1C9135D1" w14:textId="77777777" w:rsidTr="003D22E7">
        <w:trPr>
          <w:cantSplit/>
        </w:trPr>
        <w:tc>
          <w:tcPr>
            <w:tcW w:w="1695" w:type="dxa"/>
            <w:tcBorders>
              <w:left w:val="double" w:sz="4" w:space="0" w:color="auto"/>
            </w:tcBorders>
            <w:vAlign w:val="center"/>
          </w:tcPr>
          <w:p w14:paraId="18309527" w14:textId="16C983AF" w:rsidR="009B07C7" w:rsidRDefault="009B07C7" w:rsidP="000337FA">
            <w:pPr>
              <w:rPr>
                <w:rFonts w:cs="Arial"/>
              </w:rPr>
            </w:pPr>
            <w:r>
              <w:rPr>
                <w:rFonts w:cs="Arial"/>
              </w:rPr>
              <w:t>725.02(b)</w:t>
            </w:r>
          </w:p>
        </w:tc>
        <w:tc>
          <w:tcPr>
            <w:tcW w:w="1387" w:type="dxa"/>
            <w:vAlign w:val="center"/>
          </w:tcPr>
          <w:p w14:paraId="1AD6C66C" w14:textId="011F16DD" w:rsidR="009B07C7" w:rsidRDefault="009B07C7" w:rsidP="000337FA">
            <w:pPr>
              <w:rPr>
                <w:rFonts w:cs="Arial"/>
              </w:rPr>
            </w:pPr>
            <w:r>
              <w:rPr>
                <w:rFonts w:cs="Arial"/>
              </w:rPr>
              <w:t>01 NOV 2024</w:t>
            </w:r>
          </w:p>
        </w:tc>
        <w:tc>
          <w:tcPr>
            <w:tcW w:w="6248" w:type="dxa"/>
            <w:tcBorders>
              <w:right w:val="double" w:sz="4" w:space="0" w:color="auto"/>
            </w:tcBorders>
            <w:vAlign w:val="center"/>
          </w:tcPr>
          <w:p w14:paraId="3C86DB20" w14:textId="7EBBBD0A" w:rsidR="009B07C7" w:rsidRDefault="006D18E0" w:rsidP="000337FA">
            <w:pPr>
              <w:rPr>
                <w:rFonts w:cs="Arial"/>
              </w:rPr>
            </w:pPr>
            <w:r>
              <w:rPr>
                <w:rFonts w:cs="Arial"/>
              </w:rPr>
              <w:t>Revised to allow</w:t>
            </w:r>
            <w:r w:rsidR="001A72A7">
              <w:rPr>
                <w:rFonts w:cs="Arial"/>
              </w:rPr>
              <w:t xml:space="preserve"> calcium chloride</w:t>
            </w:r>
            <w:r>
              <w:rPr>
                <w:rFonts w:cs="Arial"/>
              </w:rPr>
              <w:t xml:space="preserve"> flakes or pellets, and to specify the required Grade (concentration)</w:t>
            </w:r>
            <w:r w:rsidR="001A72A7">
              <w:rPr>
                <w:rFonts w:cs="Arial"/>
              </w:rPr>
              <w:t>.</w:t>
            </w:r>
          </w:p>
        </w:tc>
      </w:tr>
      <w:tr w:rsidR="00464DDE" w:rsidRPr="000F2859" w14:paraId="26E6C20F" w14:textId="77777777" w:rsidTr="003D22E7">
        <w:trPr>
          <w:cantSplit/>
        </w:trPr>
        <w:tc>
          <w:tcPr>
            <w:tcW w:w="1695" w:type="dxa"/>
            <w:tcBorders>
              <w:left w:val="double" w:sz="4" w:space="0" w:color="auto"/>
            </w:tcBorders>
            <w:vAlign w:val="center"/>
          </w:tcPr>
          <w:p w14:paraId="60DB6D88" w14:textId="2B720FB7" w:rsidR="00464DDE" w:rsidRDefault="00464DDE" w:rsidP="000337FA">
            <w:pPr>
              <w:rPr>
                <w:rFonts w:cs="Arial"/>
              </w:rPr>
            </w:pPr>
            <w:bookmarkStart w:id="18" w:name="_Hlk178150799"/>
            <w:r>
              <w:rPr>
                <w:rFonts w:cs="Arial"/>
              </w:rPr>
              <w:t>725.21</w:t>
            </w:r>
          </w:p>
        </w:tc>
        <w:tc>
          <w:tcPr>
            <w:tcW w:w="1387" w:type="dxa"/>
            <w:vAlign w:val="center"/>
          </w:tcPr>
          <w:p w14:paraId="5D05EDCB" w14:textId="62E21A1C" w:rsidR="00464DDE" w:rsidRDefault="00233590" w:rsidP="000337FA">
            <w:pPr>
              <w:rPr>
                <w:rFonts w:cs="Arial"/>
              </w:rPr>
            </w:pPr>
            <w:r>
              <w:rPr>
                <w:rFonts w:cs="Arial"/>
              </w:rPr>
              <w:t>01 JUL 2024</w:t>
            </w:r>
          </w:p>
        </w:tc>
        <w:tc>
          <w:tcPr>
            <w:tcW w:w="6248" w:type="dxa"/>
            <w:tcBorders>
              <w:right w:val="double" w:sz="4" w:space="0" w:color="auto"/>
            </w:tcBorders>
            <w:vAlign w:val="center"/>
          </w:tcPr>
          <w:p w14:paraId="47807A75" w14:textId="305D197F" w:rsidR="00464DDE" w:rsidRDefault="00464DDE" w:rsidP="000337FA">
            <w:pPr>
              <w:rPr>
                <w:rFonts w:cs="Arial"/>
              </w:rPr>
            </w:pPr>
            <w:r>
              <w:rPr>
                <w:rFonts w:cs="Arial"/>
              </w:rPr>
              <w:t>Moves requirements for weathering agent from Section 725.19 to 725.21</w:t>
            </w:r>
            <w:r w:rsidR="00F05C7D">
              <w:rPr>
                <w:rFonts w:cs="Arial"/>
              </w:rPr>
              <w:t>.</w:t>
            </w:r>
          </w:p>
        </w:tc>
      </w:tr>
      <w:bookmarkEnd w:id="16"/>
      <w:bookmarkEnd w:id="18"/>
    </w:tbl>
    <w:p w14:paraId="0443F16C" w14:textId="77777777" w:rsidR="00C343E3" w:rsidRDefault="00C343E3" w:rsidP="004B076F"/>
    <w:sectPr w:rsidR="00C343E3">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6D4D" w14:textId="77777777" w:rsidR="00AB0AD8" w:rsidRDefault="00AB0AD8">
      <w:r>
        <w:separator/>
      </w:r>
    </w:p>
  </w:endnote>
  <w:endnote w:type="continuationSeparator" w:id="0">
    <w:p w14:paraId="0916B5E5" w14:textId="77777777" w:rsidR="00AB0AD8" w:rsidRDefault="00AB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1DC52" w14:textId="77777777" w:rsidR="00216CEA" w:rsidRDefault="00216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FCB" w14:textId="77777777" w:rsidR="00471EF6" w:rsidRDefault="00471EF6">
    <w:pPr>
      <w:pStyle w:val="Footer"/>
      <w:jc w:val="center"/>
      <w:rPr>
        <w:rFonts w:cs="Arial"/>
        <w:sz w:val="16"/>
      </w:rPr>
    </w:pPr>
    <w:r>
      <w:rPr>
        <w:rStyle w:val="PageNumber"/>
        <w:rFonts w:cs="Arial"/>
        <w:sz w:val="16"/>
      </w:rPr>
      <w:fldChar w:fldCharType="begin"/>
    </w:r>
    <w:r>
      <w:rPr>
        <w:rStyle w:val="PageNumber"/>
        <w:rFonts w:cs="Arial"/>
        <w:sz w:val="16"/>
      </w:rPr>
      <w:instrText xml:space="preserve"> PAGE </w:instrText>
    </w:r>
    <w:r>
      <w:rPr>
        <w:rStyle w:val="PageNumber"/>
        <w:rFonts w:cs="Arial"/>
        <w:sz w:val="16"/>
      </w:rPr>
      <w:fldChar w:fldCharType="separate"/>
    </w:r>
    <w:r>
      <w:rPr>
        <w:rStyle w:val="PageNumber"/>
        <w:rFonts w:cs="Arial"/>
        <w:noProof/>
        <w:sz w:val="16"/>
      </w:rPr>
      <w:t>22</w:t>
    </w:r>
    <w:r>
      <w:rPr>
        <w:rStyle w:val="PageNumber"/>
        <w:rFonts w:cs="Arial"/>
        <w:sz w:val="16"/>
      </w:rPr>
      <w:fldChar w:fldCharType="end"/>
    </w:r>
    <w:r>
      <w:rPr>
        <w:rStyle w:val="PageNumber"/>
        <w:rFonts w:cs="Arial"/>
        <w:sz w:val="16"/>
      </w:rPr>
      <w:t xml:space="preserve"> of </w:t>
    </w:r>
    <w:r>
      <w:rPr>
        <w:rStyle w:val="PageNumber"/>
        <w:rFonts w:cs="Arial"/>
        <w:sz w:val="16"/>
      </w:rPr>
      <w:fldChar w:fldCharType="begin"/>
    </w:r>
    <w:r>
      <w:rPr>
        <w:rStyle w:val="PageNumber"/>
        <w:rFonts w:cs="Arial"/>
        <w:sz w:val="16"/>
      </w:rPr>
      <w:instrText xml:space="preserve"> NUMPAGES </w:instrText>
    </w:r>
    <w:r>
      <w:rPr>
        <w:rStyle w:val="PageNumber"/>
        <w:rFonts w:cs="Arial"/>
        <w:sz w:val="16"/>
      </w:rPr>
      <w:fldChar w:fldCharType="separate"/>
    </w:r>
    <w:r>
      <w:rPr>
        <w:rStyle w:val="PageNumber"/>
        <w:rFonts w:cs="Arial"/>
        <w:noProof/>
        <w:sz w:val="16"/>
      </w:rPr>
      <w:t>24</w:t>
    </w:r>
    <w:r>
      <w:rPr>
        <w:rStyle w:val="PageNumbe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BBE7" w14:textId="77777777" w:rsidR="00216CEA" w:rsidRDefault="00216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65AC5" w14:textId="77777777" w:rsidR="00AB0AD8" w:rsidRDefault="00AB0AD8">
      <w:r>
        <w:separator/>
      </w:r>
    </w:p>
  </w:footnote>
  <w:footnote w:type="continuationSeparator" w:id="0">
    <w:p w14:paraId="0B259678" w14:textId="77777777" w:rsidR="00AB0AD8" w:rsidRDefault="00AB0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A31D" w14:textId="77777777" w:rsidR="00216CEA" w:rsidRDefault="00216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9C3F" w14:textId="52F55ED0" w:rsidR="00471EF6" w:rsidRDefault="00471EF6">
    <w:pPr>
      <w:pStyle w:val="Header"/>
      <w:jc w:val="right"/>
      <w:rPr>
        <w:rFonts w:cs="Arial"/>
        <w:sz w:val="16"/>
      </w:rPr>
    </w:pPr>
    <w:r w:rsidRPr="008B6F5A">
      <w:rPr>
        <w:rFonts w:cs="Arial"/>
        <w:sz w:val="16"/>
      </w:rPr>
      <w:t xml:space="preserve">Revised </w:t>
    </w:r>
    <w:r w:rsidR="00B53CDA">
      <w:rPr>
        <w:rFonts w:cs="Arial"/>
        <w:sz w:val="16"/>
      </w:rPr>
      <w:t xml:space="preserve">01 </w:t>
    </w:r>
    <w:r w:rsidR="00E61C53">
      <w:rPr>
        <w:rFonts w:cs="Arial"/>
        <w:sz w:val="16"/>
      </w:rPr>
      <w:t xml:space="preserve">APR </w:t>
    </w:r>
    <w:r w:rsidR="00B53CDA">
      <w:rPr>
        <w:rFonts w:cs="Arial"/>
        <w:sz w:val="16"/>
      </w:rPr>
      <w:t>202</w:t>
    </w:r>
    <w:r w:rsidR="00E61C53">
      <w:rPr>
        <w:rFonts w:cs="Arial"/>
        <w:sz w:val="16"/>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D347B" w14:textId="77777777" w:rsidR="00216CEA" w:rsidRDefault="00216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841"/>
    <w:multiLevelType w:val="hybridMultilevel"/>
    <w:tmpl w:val="080A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F298E"/>
    <w:multiLevelType w:val="hybridMultilevel"/>
    <w:tmpl w:val="DDBE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A77D3"/>
    <w:multiLevelType w:val="hybridMultilevel"/>
    <w:tmpl w:val="3AFC3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A164FC"/>
    <w:multiLevelType w:val="hybridMultilevel"/>
    <w:tmpl w:val="9A08B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EB20FD"/>
    <w:multiLevelType w:val="hybridMultilevel"/>
    <w:tmpl w:val="5EF0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F1892"/>
    <w:multiLevelType w:val="hybridMultilevel"/>
    <w:tmpl w:val="2B60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EC40D5"/>
    <w:multiLevelType w:val="hybridMultilevel"/>
    <w:tmpl w:val="BF48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881359"/>
    <w:multiLevelType w:val="hybridMultilevel"/>
    <w:tmpl w:val="D9B6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25A50"/>
    <w:multiLevelType w:val="hybridMultilevel"/>
    <w:tmpl w:val="0E48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05EF5"/>
    <w:multiLevelType w:val="hybridMultilevel"/>
    <w:tmpl w:val="43DCAB42"/>
    <w:lvl w:ilvl="0" w:tplc="289C646E">
      <w:start w:val="108"/>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0E70287"/>
    <w:multiLevelType w:val="hybridMultilevel"/>
    <w:tmpl w:val="5406E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C65BEF"/>
    <w:multiLevelType w:val="hybridMultilevel"/>
    <w:tmpl w:val="52F6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25E45"/>
    <w:multiLevelType w:val="hybridMultilevel"/>
    <w:tmpl w:val="AE78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276A5"/>
    <w:multiLevelType w:val="hybridMultilevel"/>
    <w:tmpl w:val="F490F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67423C"/>
    <w:multiLevelType w:val="hybridMultilevel"/>
    <w:tmpl w:val="0A98C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57E721B"/>
    <w:multiLevelType w:val="hybridMultilevel"/>
    <w:tmpl w:val="81EE0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63284C"/>
    <w:multiLevelType w:val="hybridMultilevel"/>
    <w:tmpl w:val="01A8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6F33BE"/>
    <w:multiLevelType w:val="hybridMultilevel"/>
    <w:tmpl w:val="5D10A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29939709">
    <w:abstractNumId w:val="9"/>
  </w:num>
  <w:num w:numId="2" w16cid:durableId="1280649802">
    <w:abstractNumId w:val="5"/>
  </w:num>
  <w:num w:numId="3" w16cid:durableId="9377722">
    <w:abstractNumId w:val="0"/>
  </w:num>
  <w:num w:numId="4" w16cid:durableId="1625424628">
    <w:abstractNumId w:val="15"/>
  </w:num>
  <w:num w:numId="5" w16cid:durableId="1508208958">
    <w:abstractNumId w:val="12"/>
  </w:num>
  <w:num w:numId="6" w16cid:durableId="197662800">
    <w:abstractNumId w:val="14"/>
  </w:num>
  <w:num w:numId="7" w16cid:durableId="318316339">
    <w:abstractNumId w:val="6"/>
  </w:num>
  <w:num w:numId="8" w16cid:durableId="170027172">
    <w:abstractNumId w:val="1"/>
  </w:num>
  <w:num w:numId="9" w16cid:durableId="1585217366">
    <w:abstractNumId w:val="16"/>
  </w:num>
  <w:num w:numId="10" w16cid:durableId="2055616795">
    <w:abstractNumId w:val="7"/>
  </w:num>
  <w:num w:numId="11" w16cid:durableId="1189219016">
    <w:abstractNumId w:val="13"/>
  </w:num>
  <w:num w:numId="12" w16cid:durableId="1825851596">
    <w:abstractNumId w:val="10"/>
  </w:num>
  <w:num w:numId="13" w16cid:durableId="71239905">
    <w:abstractNumId w:val="8"/>
  </w:num>
  <w:num w:numId="14" w16cid:durableId="293409306">
    <w:abstractNumId w:val="11"/>
  </w:num>
  <w:num w:numId="15" w16cid:durableId="886724485">
    <w:abstractNumId w:val="4"/>
  </w:num>
  <w:num w:numId="16" w16cid:durableId="1848982603">
    <w:abstractNumId w:val="2"/>
  </w:num>
  <w:num w:numId="17" w16cid:durableId="2054309435">
    <w:abstractNumId w:val="3"/>
  </w:num>
  <w:num w:numId="18" w16cid:durableId="8275970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A9"/>
    <w:rsid w:val="00000A8C"/>
    <w:rsid w:val="00000CBD"/>
    <w:rsid w:val="00000CDD"/>
    <w:rsid w:val="00004EFC"/>
    <w:rsid w:val="00005511"/>
    <w:rsid w:val="000072AA"/>
    <w:rsid w:val="00007688"/>
    <w:rsid w:val="0000774D"/>
    <w:rsid w:val="00007D30"/>
    <w:rsid w:val="0001090F"/>
    <w:rsid w:val="00010E47"/>
    <w:rsid w:val="00011C57"/>
    <w:rsid w:val="0001280E"/>
    <w:rsid w:val="00014B2B"/>
    <w:rsid w:val="000161EE"/>
    <w:rsid w:val="00020194"/>
    <w:rsid w:val="000235C4"/>
    <w:rsid w:val="00023605"/>
    <w:rsid w:val="00024158"/>
    <w:rsid w:val="0003026D"/>
    <w:rsid w:val="00030AD1"/>
    <w:rsid w:val="00031308"/>
    <w:rsid w:val="00032018"/>
    <w:rsid w:val="000324B0"/>
    <w:rsid w:val="0003309C"/>
    <w:rsid w:val="000337FA"/>
    <w:rsid w:val="0003494B"/>
    <w:rsid w:val="0003583E"/>
    <w:rsid w:val="00035F18"/>
    <w:rsid w:val="000373BA"/>
    <w:rsid w:val="0003762E"/>
    <w:rsid w:val="00040DA0"/>
    <w:rsid w:val="00040DF5"/>
    <w:rsid w:val="0004289D"/>
    <w:rsid w:val="00042E95"/>
    <w:rsid w:val="000437B0"/>
    <w:rsid w:val="0004382E"/>
    <w:rsid w:val="00044AF0"/>
    <w:rsid w:val="000465C3"/>
    <w:rsid w:val="00046B05"/>
    <w:rsid w:val="00047735"/>
    <w:rsid w:val="00053A0A"/>
    <w:rsid w:val="000541D4"/>
    <w:rsid w:val="000542C6"/>
    <w:rsid w:val="000542D5"/>
    <w:rsid w:val="000547EC"/>
    <w:rsid w:val="000561F6"/>
    <w:rsid w:val="0006036E"/>
    <w:rsid w:val="0006132C"/>
    <w:rsid w:val="00061413"/>
    <w:rsid w:val="00061BB0"/>
    <w:rsid w:val="00062215"/>
    <w:rsid w:val="000622FA"/>
    <w:rsid w:val="00066866"/>
    <w:rsid w:val="00067439"/>
    <w:rsid w:val="00072486"/>
    <w:rsid w:val="00073D8F"/>
    <w:rsid w:val="00074E32"/>
    <w:rsid w:val="00076721"/>
    <w:rsid w:val="000770C5"/>
    <w:rsid w:val="00077795"/>
    <w:rsid w:val="00077E93"/>
    <w:rsid w:val="00080557"/>
    <w:rsid w:val="00081A68"/>
    <w:rsid w:val="00082567"/>
    <w:rsid w:val="00083CB4"/>
    <w:rsid w:val="00084A2E"/>
    <w:rsid w:val="000851E9"/>
    <w:rsid w:val="00085CF8"/>
    <w:rsid w:val="000864A3"/>
    <w:rsid w:val="00087003"/>
    <w:rsid w:val="00087FCE"/>
    <w:rsid w:val="0009027A"/>
    <w:rsid w:val="00090343"/>
    <w:rsid w:val="00090360"/>
    <w:rsid w:val="000905EB"/>
    <w:rsid w:val="000909C8"/>
    <w:rsid w:val="000909F6"/>
    <w:rsid w:val="00092A3F"/>
    <w:rsid w:val="000943CB"/>
    <w:rsid w:val="000A1EC9"/>
    <w:rsid w:val="000A29AF"/>
    <w:rsid w:val="000A36EE"/>
    <w:rsid w:val="000A3943"/>
    <w:rsid w:val="000A4B44"/>
    <w:rsid w:val="000A640A"/>
    <w:rsid w:val="000A7685"/>
    <w:rsid w:val="000B1997"/>
    <w:rsid w:val="000B4DDB"/>
    <w:rsid w:val="000B5143"/>
    <w:rsid w:val="000C0BC8"/>
    <w:rsid w:val="000C0C24"/>
    <w:rsid w:val="000C1626"/>
    <w:rsid w:val="000C1D26"/>
    <w:rsid w:val="000C47FE"/>
    <w:rsid w:val="000C4B8D"/>
    <w:rsid w:val="000C5726"/>
    <w:rsid w:val="000C6DF9"/>
    <w:rsid w:val="000C707D"/>
    <w:rsid w:val="000D3F5C"/>
    <w:rsid w:val="000D49D6"/>
    <w:rsid w:val="000E0E37"/>
    <w:rsid w:val="000E14FC"/>
    <w:rsid w:val="000E1B38"/>
    <w:rsid w:val="000E3B41"/>
    <w:rsid w:val="000E3F5A"/>
    <w:rsid w:val="000E56A7"/>
    <w:rsid w:val="000E59FF"/>
    <w:rsid w:val="000E60EF"/>
    <w:rsid w:val="000E6851"/>
    <w:rsid w:val="000F01D4"/>
    <w:rsid w:val="000F0A8A"/>
    <w:rsid w:val="000F1169"/>
    <w:rsid w:val="000F2123"/>
    <w:rsid w:val="000F2301"/>
    <w:rsid w:val="000F2547"/>
    <w:rsid w:val="000F2859"/>
    <w:rsid w:val="000F2987"/>
    <w:rsid w:val="000F392E"/>
    <w:rsid w:val="000F5AFD"/>
    <w:rsid w:val="000F65E7"/>
    <w:rsid w:val="000F7482"/>
    <w:rsid w:val="000F77A3"/>
    <w:rsid w:val="000F77B7"/>
    <w:rsid w:val="000F7C8E"/>
    <w:rsid w:val="001004E1"/>
    <w:rsid w:val="00100CAC"/>
    <w:rsid w:val="00102EB7"/>
    <w:rsid w:val="001034E0"/>
    <w:rsid w:val="00103791"/>
    <w:rsid w:val="00104B7B"/>
    <w:rsid w:val="0011192D"/>
    <w:rsid w:val="00111CB5"/>
    <w:rsid w:val="00111E2B"/>
    <w:rsid w:val="0011286E"/>
    <w:rsid w:val="001129FB"/>
    <w:rsid w:val="0011332B"/>
    <w:rsid w:val="00114DF3"/>
    <w:rsid w:val="00115213"/>
    <w:rsid w:val="001158F0"/>
    <w:rsid w:val="00116AE6"/>
    <w:rsid w:val="00116D6B"/>
    <w:rsid w:val="00117CA5"/>
    <w:rsid w:val="00120E7C"/>
    <w:rsid w:val="0012183D"/>
    <w:rsid w:val="00121910"/>
    <w:rsid w:val="00121D96"/>
    <w:rsid w:val="00122736"/>
    <w:rsid w:val="00124D91"/>
    <w:rsid w:val="001254F7"/>
    <w:rsid w:val="00126688"/>
    <w:rsid w:val="0012781A"/>
    <w:rsid w:val="001319B4"/>
    <w:rsid w:val="00133BEB"/>
    <w:rsid w:val="0013477A"/>
    <w:rsid w:val="0013520D"/>
    <w:rsid w:val="0013628F"/>
    <w:rsid w:val="001365CC"/>
    <w:rsid w:val="0014002B"/>
    <w:rsid w:val="00140BF8"/>
    <w:rsid w:val="00140F22"/>
    <w:rsid w:val="00141CFE"/>
    <w:rsid w:val="00142547"/>
    <w:rsid w:val="00143554"/>
    <w:rsid w:val="00144387"/>
    <w:rsid w:val="001446EB"/>
    <w:rsid w:val="00146C0E"/>
    <w:rsid w:val="00146E0B"/>
    <w:rsid w:val="00147804"/>
    <w:rsid w:val="00147DB9"/>
    <w:rsid w:val="00150FE1"/>
    <w:rsid w:val="00152ACF"/>
    <w:rsid w:val="00153F75"/>
    <w:rsid w:val="00154F72"/>
    <w:rsid w:val="0015707D"/>
    <w:rsid w:val="00157B21"/>
    <w:rsid w:val="0016055F"/>
    <w:rsid w:val="001627A9"/>
    <w:rsid w:val="00162BDA"/>
    <w:rsid w:val="001635C4"/>
    <w:rsid w:val="00163728"/>
    <w:rsid w:val="001639C6"/>
    <w:rsid w:val="00163AF0"/>
    <w:rsid w:val="00164835"/>
    <w:rsid w:val="00164C4E"/>
    <w:rsid w:val="001651EA"/>
    <w:rsid w:val="00165DE9"/>
    <w:rsid w:val="0016610D"/>
    <w:rsid w:val="00166434"/>
    <w:rsid w:val="00166C46"/>
    <w:rsid w:val="00166CF8"/>
    <w:rsid w:val="00170B2C"/>
    <w:rsid w:val="00171EFE"/>
    <w:rsid w:val="0017264A"/>
    <w:rsid w:val="00172D33"/>
    <w:rsid w:val="00176C72"/>
    <w:rsid w:val="00177413"/>
    <w:rsid w:val="001774DE"/>
    <w:rsid w:val="0018109F"/>
    <w:rsid w:val="00184496"/>
    <w:rsid w:val="001873BD"/>
    <w:rsid w:val="00192CDD"/>
    <w:rsid w:val="00192DF9"/>
    <w:rsid w:val="00194661"/>
    <w:rsid w:val="00196931"/>
    <w:rsid w:val="00196F97"/>
    <w:rsid w:val="001976F3"/>
    <w:rsid w:val="001A0155"/>
    <w:rsid w:val="001A0173"/>
    <w:rsid w:val="001A0B92"/>
    <w:rsid w:val="001A2624"/>
    <w:rsid w:val="001A2831"/>
    <w:rsid w:val="001A45C2"/>
    <w:rsid w:val="001A58F1"/>
    <w:rsid w:val="001A5933"/>
    <w:rsid w:val="001A5E3D"/>
    <w:rsid w:val="001A61B0"/>
    <w:rsid w:val="001A72A7"/>
    <w:rsid w:val="001A7F50"/>
    <w:rsid w:val="001B0FF8"/>
    <w:rsid w:val="001B2FDB"/>
    <w:rsid w:val="001B35F9"/>
    <w:rsid w:val="001B3770"/>
    <w:rsid w:val="001B4654"/>
    <w:rsid w:val="001B4A8F"/>
    <w:rsid w:val="001B5360"/>
    <w:rsid w:val="001B5925"/>
    <w:rsid w:val="001B6466"/>
    <w:rsid w:val="001B68AC"/>
    <w:rsid w:val="001B6DC1"/>
    <w:rsid w:val="001B77D8"/>
    <w:rsid w:val="001B7EBF"/>
    <w:rsid w:val="001C0F0F"/>
    <w:rsid w:val="001C19AB"/>
    <w:rsid w:val="001C2854"/>
    <w:rsid w:val="001C2915"/>
    <w:rsid w:val="001C2B52"/>
    <w:rsid w:val="001D0AC0"/>
    <w:rsid w:val="001D0CA1"/>
    <w:rsid w:val="001D2444"/>
    <w:rsid w:val="001D3FB3"/>
    <w:rsid w:val="001D4821"/>
    <w:rsid w:val="001D7761"/>
    <w:rsid w:val="001D7A95"/>
    <w:rsid w:val="001E0317"/>
    <w:rsid w:val="001E0A7F"/>
    <w:rsid w:val="001E1C6C"/>
    <w:rsid w:val="001E2567"/>
    <w:rsid w:val="001E3155"/>
    <w:rsid w:val="001E3679"/>
    <w:rsid w:val="001E3EE7"/>
    <w:rsid w:val="001E7C7E"/>
    <w:rsid w:val="001F0E8C"/>
    <w:rsid w:val="001F0ED1"/>
    <w:rsid w:val="001F1608"/>
    <w:rsid w:val="001F1D06"/>
    <w:rsid w:val="001F1E75"/>
    <w:rsid w:val="001F22B4"/>
    <w:rsid w:val="001F2A4E"/>
    <w:rsid w:val="001F3B56"/>
    <w:rsid w:val="001F6A38"/>
    <w:rsid w:val="002006D4"/>
    <w:rsid w:val="002060F4"/>
    <w:rsid w:val="002079EF"/>
    <w:rsid w:val="002106EC"/>
    <w:rsid w:val="00212706"/>
    <w:rsid w:val="002136BD"/>
    <w:rsid w:val="0021528A"/>
    <w:rsid w:val="00215698"/>
    <w:rsid w:val="002158E7"/>
    <w:rsid w:val="00216246"/>
    <w:rsid w:val="00216AAD"/>
    <w:rsid w:val="00216C24"/>
    <w:rsid w:val="00216CEA"/>
    <w:rsid w:val="0021791D"/>
    <w:rsid w:val="002223C8"/>
    <w:rsid w:val="00222AE1"/>
    <w:rsid w:val="00222BA4"/>
    <w:rsid w:val="00224E1B"/>
    <w:rsid w:val="002256C1"/>
    <w:rsid w:val="00225A98"/>
    <w:rsid w:val="00232CBE"/>
    <w:rsid w:val="00233590"/>
    <w:rsid w:val="00234172"/>
    <w:rsid w:val="0023566F"/>
    <w:rsid w:val="0023746F"/>
    <w:rsid w:val="002404FD"/>
    <w:rsid w:val="0024086E"/>
    <w:rsid w:val="00240978"/>
    <w:rsid w:val="002418EA"/>
    <w:rsid w:val="00241D42"/>
    <w:rsid w:val="00242597"/>
    <w:rsid w:val="0024313F"/>
    <w:rsid w:val="00243360"/>
    <w:rsid w:val="002437D8"/>
    <w:rsid w:val="00244047"/>
    <w:rsid w:val="002448F2"/>
    <w:rsid w:val="00245A3C"/>
    <w:rsid w:val="0024661E"/>
    <w:rsid w:val="00247D6B"/>
    <w:rsid w:val="0025013B"/>
    <w:rsid w:val="00250531"/>
    <w:rsid w:val="00250C25"/>
    <w:rsid w:val="00252144"/>
    <w:rsid w:val="0025296F"/>
    <w:rsid w:val="002532C5"/>
    <w:rsid w:val="002548A3"/>
    <w:rsid w:val="00255C92"/>
    <w:rsid w:val="00256FB4"/>
    <w:rsid w:val="00257012"/>
    <w:rsid w:val="00261864"/>
    <w:rsid w:val="00265A20"/>
    <w:rsid w:val="0026753E"/>
    <w:rsid w:val="0027138E"/>
    <w:rsid w:val="002740B6"/>
    <w:rsid w:val="00274B61"/>
    <w:rsid w:val="00274D17"/>
    <w:rsid w:val="002815F9"/>
    <w:rsid w:val="00282EF7"/>
    <w:rsid w:val="00285D23"/>
    <w:rsid w:val="0029064A"/>
    <w:rsid w:val="002923E0"/>
    <w:rsid w:val="00293161"/>
    <w:rsid w:val="00293B71"/>
    <w:rsid w:val="002943ED"/>
    <w:rsid w:val="0029467C"/>
    <w:rsid w:val="00295467"/>
    <w:rsid w:val="00295F4D"/>
    <w:rsid w:val="00297664"/>
    <w:rsid w:val="002A0967"/>
    <w:rsid w:val="002A09F5"/>
    <w:rsid w:val="002A0CB1"/>
    <w:rsid w:val="002A120F"/>
    <w:rsid w:val="002A12A5"/>
    <w:rsid w:val="002A1CD3"/>
    <w:rsid w:val="002A2DE6"/>
    <w:rsid w:val="002A4BF2"/>
    <w:rsid w:val="002A4F54"/>
    <w:rsid w:val="002A52AE"/>
    <w:rsid w:val="002A5D31"/>
    <w:rsid w:val="002A7E24"/>
    <w:rsid w:val="002B1164"/>
    <w:rsid w:val="002B1BCE"/>
    <w:rsid w:val="002B1FB1"/>
    <w:rsid w:val="002B28EA"/>
    <w:rsid w:val="002B47B1"/>
    <w:rsid w:val="002B4E6C"/>
    <w:rsid w:val="002B6B74"/>
    <w:rsid w:val="002C0026"/>
    <w:rsid w:val="002C32F2"/>
    <w:rsid w:val="002C3795"/>
    <w:rsid w:val="002C3A1B"/>
    <w:rsid w:val="002C434F"/>
    <w:rsid w:val="002C68DC"/>
    <w:rsid w:val="002D1D75"/>
    <w:rsid w:val="002D5315"/>
    <w:rsid w:val="002E039E"/>
    <w:rsid w:val="002E1C0F"/>
    <w:rsid w:val="002E206A"/>
    <w:rsid w:val="002E226D"/>
    <w:rsid w:val="002E5309"/>
    <w:rsid w:val="002E7B37"/>
    <w:rsid w:val="002F3EFE"/>
    <w:rsid w:val="002F5771"/>
    <w:rsid w:val="002F6124"/>
    <w:rsid w:val="002F7B04"/>
    <w:rsid w:val="003012D1"/>
    <w:rsid w:val="00302093"/>
    <w:rsid w:val="003031C6"/>
    <w:rsid w:val="0030339F"/>
    <w:rsid w:val="00303C24"/>
    <w:rsid w:val="00305100"/>
    <w:rsid w:val="003068B7"/>
    <w:rsid w:val="0030698B"/>
    <w:rsid w:val="003079E9"/>
    <w:rsid w:val="00310B73"/>
    <w:rsid w:val="00310CFF"/>
    <w:rsid w:val="00310D8D"/>
    <w:rsid w:val="0031311B"/>
    <w:rsid w:val="00313826"/>
    <w:rsid w:val="00315CE1"/>
    <w:rsid w:val="00316EC9"/>
    <w:rsid w:val="00317783"/>
    <w:rsid w:val="00317C36"/>
    <w:rsid w:val="00320AC3"/>
    <w:rsid w:val="00320F6E"/>
    <w:rsid w:val="00325393"/>
    <w:rsid w:val="00326099"/>
    <w:rsid w:val="00326B21"/>
    <w:rsid w:val="00327726"/>
    <w:rsid w:val="003279D4"/>
    <w:rsid w:val="0033027C"/>
    <w:rsid w:val="00330BDF"/>
    <w:rsid w:val="00330DCD"/>
    <w:rsid w:val="003336EA"/>
    <w:rsid w:val="0033537D"/>
    <w:rsid w:val="003367DA"/>
    <w:rsid w:val="003368D8"/>
    <w:rsid w:val="00336CDA"/>
    <w:rsid w:val="00337488"/>
    <w:rsid w:val="003401B0"/>
    <w:rsid w:val="00345C5B"/>
    <w:rsid w:val="00345D00"/>
    <w:rsid w:val="0034648F"/>
    <w:rsid w:val="00346A51"/>
    <w:rsid w:val="00346C6D"/>
    <w:rsid w:val="00350D6E"/>
    <w:rsid w:val="00350D7D"/>
    <w:rsid w:val="003510C0"/>
    <w:rsid w:val="003511D5"/>
    <w:rsid w:val="003524F1"/>
    <w:rsid w:val="00354732"/>
    <w:rsid w:val="00354B3A"/>
    <w:rsid w:val="00356433"/>
    <w:rsid w:val="00356C66"/>
    <w:rsid w:val="00356E6D"/>
    <w:rsid w:val="003623D4"/>
    <w:rsid w:val="00362734"/>
    <w:rsid w:val="003641CC"/>
    <w:rsid w:val="0036440A"/>
    <w:rsid w:val="00367B2F"/>
    <w:rsid w:val="003706EA"/>
    <w:rsid w:val="00371144"/>
    <w:rsid w:val="003722DE"/>
    <w:rsid w:val="003724C7"/>
    <w:rsid w:val="00372611"/>
    <w:rsid w:val="00373442"/>
    <w:rsid w:val="003736EE"/>
    <w:rsid w:val="003750DF"/>
    <w:rsid w:val="003759B5"/>
    <w:rsid w:val="003760D1"/>
    <w:rsid w:val="0037627D"/>
    <w:rsid w:val="003804B1"/>
    <w:rsid w:val="00380835"/>
    <w:rsid w:val="003811F6"/>
    <w:rsid w:val="003815C2"/>
    <w:rsid w:val="003821DD"/>
    <w:rsid w:val="003832A2"/>
    <w:rsid w:val="00383968"/>
    <w:rsid w:val="003840EB"/>
    <w:rsid w:val="00385262"/>
    <w:rsid w:val="003857DE"/>
    <w:rsid w:val="00390406"/>
    <w:rsid w:val="0039105A"/>
    <w:rsid w:val="003926F0"/>
    <w:rsid w:val="00392872"/>
    <w:rsid w:val="0039375B"/>
    <w:rsid w:val="00394616"/>
    <w:rsid w:val="00394BDF"/>
    <w:rsid w:val="00394DFC"/>
    <w:rsid w:val="00395FCE"/>
    <w:rsid w:val="00395FD4"/>
    <w:rsid w:val="003A0828"/>
    <w:rsid w:val="003A16B8"/>
    <w:rsid w:val="003A1F1E"/>
    <w:rsid w:val="003A2286"/>
    <w:rsid w:val="003A22E7"/>
    <w:rsid w:val="003A360C"/>
    <w:rsid w:val="003A3D4B"/>
    <w:rsid w:val="003A3D5B"/>
    <w:rsid w:val="003A519E"/>
    <w:rsid w:val="003A6362"/>
    <w:rsid w:val="003B15D5"/>
    <w:rsid w:val="003B7377"/>
    <w:rsid w:val="003B76D4"/>
    <w:rsid w:val="003C0020"/>
    <w:rsid w:val="003C087D"/>
    <w:rsid w:val="003C10AB"/>
    <w:rsid w:val="003C4434"/>
    <w:rsid w:val="003C4442"/>
    <w:rsid w:val="003C49F3"/>
    <w:rsid w:val="003C4A27"/>
    <w:rsid w:val="003C4EC5"/>
    <w:rsid w:val="003C73E0"/>
    <w:rsid w:val="003C7BB6"/>
    <w:rsid w:val="003D0B97"/>
    <w:rsid w:val="003D0F9F"/>
    <w:rsid w:val="003D1CA6"/>
    <w:rsid w:val="003D207C"/>
    <w:rsid w:val="003D22E7"/>
    <w:rsid w:val="003E028F"/>
    <w:rsid w:val="003E02B5"/>
    <w:rsid w:val="003E13C1"/>
    <w:rsid w:val="003E1524"/>
    <w:rsid w:val="003E1CF0"/>
    <w:rsid w:val="003E2B9A"/>
    <w:rsid w:val="003E3F3D"/>
    <w:rsid w:val="003E7F99"/>
    <w:rsid w:val="003F0157"/>
    <w:rsid w:val="003F01F6"/>
    <w:rsid w:val="003F58EF"/>
    <w:rsid w:val="003F7CD9"/>
    <w:rsid w:val="004036DE"/>
    <w:rsid w:val="004053B1"/>
    <w:rsid w:val="00405658"/>
    <w:rsid w:val="00407535"/>
    <w:rsid w:val="0040760A"/>
    <w:rsid w:val="00407DC4"/>
    <w:rsid w:val="00411A8F"/>
    <w:rsid w:val="00411F48"/>
    <w:rsid w:val="00412C1D"/>
    <w:rsid w:val="004141F6"/>
    <w:rsid w:val="0041568D"/>
    <w:rsid w:val="00415C12"/>
    <w:rsid w:val="00415DB7"/>
    <w:rsid w:val="0041658B"/>
    <w:rsid w:val="0042164A"/>
    <w:rsid w:val="00424C82"/>
    <w:rsid w:val="00425535"/>
    <w:rsid w:val="00425E80"/>
    <w:rsid w:val="00426039"/>
    <w:rsid w:val="00431FFC"/>
    <w:rsid w:val="0043238E"/>
    <w:rsid w:val="0043256A"/>
    <w:rsid w:val="00433208"/>
    <w:rsid w:val="00434036"/>
    <w:rsid w:val="004411D9"/>
    <w:rsid w:val="00442E88"/>
    <w:rsid w:val="00443B17"/>
    <w:rsid w:val="00443BD9"/>
    <w:rsid w:val="00443F13"/>
    <w:rsid w:val="0044539F"/>
    <w:rsid w:val="00446055"/>
    <w:rsid w:val="00447254"/>
    <w:rsid w:val="00450104"/>
    <w:rsid w:val="00450961"/>
    <w:rsid w:val="004537DA"/>
    <w:rsid w:val="0045482F"/>
    <w:rsid w:val="00455309"/>
    <w:rsid w:val="00456C62"/>
    <w:rsid w:val="00457C1F"/>
    <w:rsid w:val="00457C6D"/>
    <w:rsid w:val="00457EC6"/>
    <w:rsid w:val="0046091D"/>
    <w:rsid w:val="00461767"/>
    <w:rsid w:val="00462FB2"/>
    <w:rsid w:val="00464CFE"/>
    <w:rsid w:val="00464DDE"/>
    <w:rsid w:val="00465244"/>
    <w:rsid w:val="00466EFE"/>
    <w:rsid w:val="00471092"/>
    <w:rsid w:val="00471EF6"/>
    <w:rsid w:val="00473535"/>
    <w:rsid w:val="00473817"/>
    <w:rsid w:val="00473F0F"/>
    <w:rsid w:val="00475AF1"/>
    <w:rsid w:val="00477B65"/>
    <w:rsid w:val="00480159"/>
    <w:rsid w:val="00480841"/>
    <w:rsid w:val="0048263F"/>
    <w:rsid w:val="004845AE"/>
    <w:rsid w:val="004856E4"/>
    <w:rsid w:val="00485C48"/>
    <w:rsid w:val="00486ABC"/>
    <w:rsid w:val="00487061"/>
    <w:rsid w:val="00490876"/>
    <w:rsid w:val="00490DDF"/>
    <w:rsid w:val="0049146C"/>
    <w:rsid w:val="004917FE"/>
    <w:rsid w:val="00496D07"/>
    <w:rsid w:val="00497812"/>
    <w:rsid w:val="004A0B6D"/>
    <w:rsid w:val="004A1E84"/>
    <w:rsid w:val="004A3144"/>
    <w:rsid w:val="004A3B83"/>
    <w:rsid w:val="004A41A8"/>
    <w:rsid w:val="004A581F"/>
    <w:rsid w:val="004A65DC"/>
    <w:rsid w:val="004A7990"/>
    <w:rsid w:val="004B00A2"/>
    <w:rsid w:val="004B076F"/>
    <w:rsid w:val="004B12FF"/>
    <w:rsid w:val="004B2A78"/>
    <w:rsid w:val="004B398C"/>
    <w:rsid w:val="004B54DD"/>
    <w:rsid w:val="004B7438"/>
    <w:rsid w:val="004C0125"/>
    <w:rsid w:val="004C02A9"/>
    <w:rsid w:val="004C5C0F"/>
    <w:rsid w:val="004C5DD3"/>
    <w:rsid w:val="004C6C94"/>
    <w:rsid w:val="004C76BD"/>
    <w:rsid w:val="004D157D"/>
    <w:rsid w:val="004D1E04"/>
    <w:rsid w:val="004D2308"/>
    <w:rsid w:val="004D4291"/>
    <w:rsid w:val="004E0049"/>
    <w:rsid w:val="004E1009"/>
    <w:rsid w:val="004E1D44"/>
    <w:rsid w:val="004E3BD4"/>
    <w:rsid w:val="004E409E"/>
    <w:rsid w:val="004E7355"/>
    <w:rsid w:val="004F0C7E"/>
    <w:rsid w:val="004F192C"/>
    <w:rsid w:val="004F199F"/>
    <w:rsid w:val="004F22D6"/>
    <w:rsid w:val="004F26D6"/>
    <w:rsid w:val="004F270C"/>
    <w:rsid w:val="004F3B27"/>
    <w:rsid w:val="004F5DE5"/>
    <w:rsid w:val="004F658D"/>
    <w:rsid w:val="004F72B0"/>
    <w:rsid w:val="00500CE2"/>
    <w:rsid w:val="005022BE"/>
    <w:rsid w:val="00502820"/>
    <w:rsid w:val="00502D3C"/>
    <w:rsid w:val="00502DA9"/>
    <w:rsid w:val="0050522B"/>
    <w:rsid w:val="00505CE2"/>
    <w:rsid w:val="00511E4E"/>
    <w:rsid w:val="005121FE"/>
    <w:rsid w:val="00512379"/>
    <w:rsid w:val="00512A0F"/>
    <w:rsid w:val="0051535D"/>
    <w:rsid w:val="00515406"/>
    <w:rsid w:val="00517263"/>
    <w:rsid w:val="00521767"/>
    <w:rsid w:val="0052228D"/>
    <w:rsid w:val="00522A5C"/>
    <w:rsid w:val="00522DBC"/>
    <w:rsid w:val="005235B8"/>
    <w:rsid w:val="005255BC"/>
    <w:rsid w:val="00525F27"/>
    <w:rsid w:val="00530101"/>
    <w:rsid w:val="0053063D"/>
    <w:rsid w:val="005329BF"/>
    <w:rsid w:val="00532C0A"/>
    <w:rsid w:val="00533BD0"/>
    <w:rsid w:val="005341AA"/>
    <w:rsid w:val="00534F2B"/>
    <w:rsid w:val="005350BA"/>
    <w:rsid w:val="005358D0"/>
    <w:rsid w:val="00537B23"/>
    <w:rsid w:val="00537E95"/>
    <w:rsid w:val="0054009D"/>
    <w:rsid w:val="00540369"/>
    <w:rsid w:val="005405A0"/>
    <w:rsid w:val="005415CA"/>
    <w:rsid w:val="00542030"/>
    <w:rsid w:val="005433E2"/>
    <w:rsid w:val="00543524"/>
    <w:rsid w:val="0054603E"/>
    <w:rsid w:val="0054620A"/>
    <w:rsid w:val="005465EA"/>
    <w:rsid w:val="00547332"/>
    <w:rsid w:val="0055055A"/>
    <w:rsid w:val="00552A08"/>
    <w:rsid w:val="00554F99"/>
    <w:rsid w:val="00555887"/>
    <w:rsid w:val="00555B3A"/>
    <w:rsid w:val="00556306"/>
    <w:rsid w:val="00557C30"/>
    <w:rsid w:val="00561C64"/>
    <w:rsid w:val="00563901"/>
    <w:rsid w:val="005644DA"/>
    <w:rsid w:val="005648AF"/>
    <w:rsid w:val="00565B37"/>
    <w:rsid w:val="005704B8"/>
    <w:rsid w:val="00571055"/>
    <w:rsid w:val="005730E6"/>
    <w:rsid w:val="00573C23"/>
    <w:rsid w:val="00576268"/>
    <w:rsid w:val="005825BE"/>
    <w:rsid w:val="00583079"/>
    <w:rsid w:val="005857F7"/>
    <w:rsid w:val="00591C29"/>
    <w:rsid w:val="0059319F"/>
    <w:rsid w:val="005939C7"/>
    <w:rsid w:val="00594855"/>
    <w:rsid w:val="00594DBA"/>
    <w:rsid w:val="005968BF"/>
    <w:rsid w:val="00597608"/>
    <w:rsid w:val="005A023D"/>
    <w:rsid w:val="005A03FB"/>
    <w:rsid w:val="005A0E48"/>
    <w:rsid w:val="005A2F39"/>
    <w:rsid w:val="005A5F48"/>
    <w:rsid w:val="005A6849"/>
    <w:rsid w:val="005A791C"/>
    <w:rsid w:val="005A7F82"/>
    <w:rsid w:val="005A7FC8"/>
    <w:rsid w:val="005B09F0"/>
    <w:rsid w:val="005B1F67"/>
    <w:rsid w:val="005B3D92"/>
    <w:rsid w:val="005B5A3F"/>
    <w:rsid w:val="005B7070"/>
    <w:rsid w:val="005C05E4"/>
    <w:rsid w:val="005C0687"/>
    <w:rsid w:val="005C13FD"/>
    <w:rsid w:val="005C1A44"/>
    <w:rsid w:val="005C29E9"/>
    <w:rsid w:val="005C2CA6"/>
    <w:rsid w:val="005C30E3"/>
    <w:rsid w:val="005C4ECB"/>
    <w:rsid w:val="005C5C53"/>
    <w:rsid w:val="005C63A0"/>
    <w:rsid w:val="005C6848"/>
    <w:rsid w:val="005C7BE0"/>
    <w:rsid w:val="005D0E3D"/>
    <w:rsid w:val="005D0FD4"/>
    <w:rsid w:val="005D7191"/>
    <w:rsid w:val="005E1479"/>
    <w:rsid w:val="005E2204"/>
    <w:rsid w:val="005E23A2"/>
    <w:rsid w:val="005E32CB"/>
    <w:rsid w:val="005E3458"/>
    <w:rsid w:val="005E51C0"/>
    <w:rsid w:val="005E624A"/>
    <w:rsid w:val="005E6379"/>
    <w:rsid w:val="005E670D"/>
    <w:rsid w:val="005E6CC8"/>
    <w:rsid w:val="005E6D98"/>
    <w:rsid w:val="005F035E"/>
    <w:rsid w:val="005F13CA"/>
    <w:rsid w:val="005F186D"/>
    <w:rsid w:val="005F1AA2"/>
    <w:rsid w:val="005F3720"/>
    <w:rsid w:val="005F375A"/>
    <w:rsid w:val="005F4BAA"/>
    <w:rsid w:val="005F77F2"/>
    <w:rsid w:val="006003EC"/>
    <w:rsid w:val="00603813"/>
    <w:rsid w:val="00604CE5"/>
    <w:rsid w:val="006052A5"/>
    <w:rsid w:val="00605E66"/>
    <w:rsid w:val="006073DA"/>
    <w:rsid w:val="00607635"/>
    <w:rsid w:val="00610641"/>
    <w:rsid w:val="00610827"/>
    <w:rsid w:val="00611635"/>
    <w:rsid w:val="00612FA3"/>
    <w:rsid w:val="0061501B"/>
    <w:rsid w:val="00620BE9"/>
    <w:rsid w:val="00620BEF"/>
    <w:rsid w:val="006240CD"/>
    <w:rsid w:val="006309F5"/>
    <w:rsid w:val="006320B9"/>
    <w:rsid w:val="00632EF4"/>
    <w:rsid w:val="00633507"/>
    <w:rsid w:val="00634DA2"/>
    <w:rsid w:val="00637ABA"/>
    <w:rsid w:val="00637DC9"/>
    <w:rsid w:val="00640B63"/>
    <w:rsid w:val="00642108"/>
    <w:rsid w:val="00642679"/>
    <w:rsid w:val="00644B26"/>
    <w:rsid w:val="00644EC7"/>
    <w:rsid w:val="00646308"/>
    <w:rsid w:val="0064673C"/>
    <w:rsid w:val="00646E37"/>
    <w:rsid w:val="00650932"/>
    <w:rsid w:val="00650C0D"/>
    <w:rsid w:val="006516F8"/>
    <w:rsid w:val="00651F56"/>
    <w:rsid w:val="006529A9"/>
    <w:rsid w:val="0065485A"/>
    <w:rsid w:val="00654CF5"/>
    <w:rsid w:val="006575B1"/>
    <w:rsid w:val="006633F9"/>
    <w:rsid w:val="006676DC"/>
    <w:rsid w:val="006714CE"/>
    <w:rsid w:val="006718E9"/>
    <w:rsid w:val="00671E36"/>
    <w:rsid w:val="00672ADF"/>
    <w:rsid w:val="00672FA3"/>
    <w:rsid w:val="00674074"/>
    <w:rsid w:val="00675031"/>
    <w:rsid w:val="00675D7E"/>
    <w:rsid w:val="00676C2F"/>
    <w:rsid w:val="0067701E"/>
    <w:rsid w:val="006776E5"/>
    <w:rsid w:val="006816EB"/>
    <w:rsid w:val="00683013"/>
    <w:rsid w:val="006842C7"/>
    <w:rsid w:val="00685485"/>
    <w:rsid w:val="00685A46"/>
    <w:rsid w:val="00685BAC"/>
    <w:rsid w:val="006861F1"/>
    <w:rsid w:val="00686818"/>
    <w:rsid w:val="0068686A"/>
    <w:rsid w:val="00687CD8"/>
    <w:rsid w:val="0069119A"/>
    <w:rsid w:val="00691CD2"/>
    <w:rsid w:val="00693BE4"/>
    <w:rsid w:val="0069543E"/>
    <w:rsid w:val="00695CEA"/>
    <w:rsid w:val="00696A56"/>
    <w:rsid w:val="00696AE7"/>
    <w:rsid w:val="006A20E2"/>
    <w:rsid w:val="006A3E8D"/>
    <w:rsid w:val="006A4BDC"/>
    <w:rsid w:val="006A5911"/>
    <w:rsid w:val="006B38B2"/>
    <w:rsid w:val="006B66D4"/>
    <w:rsid w:val="006C004A"/>
    <w:rsid w:val="006C0530"/>
    <w:rsid w:val="006C107D"/>
    <w:rsid w:val="006C402D"/>
    <w:rsid w:val="006C4857"/>
    <w:rsid w:val="006C48CE"/>
    <w:rsid w:val="006C6769"/>
    <w:rsid w:val="006C6DE3"/>
    <w:rsid w:val="006C6EB9"/>
    <w:rsid w:val="006D146C"/>
    <w:rsid w:val="006D18E0"/>
    <w:rsid w:val="006E016D"/>
    <w:rsid w:val="006E06F2"/>
    <w:rsid w:val="006E0CB2"/>
    <w:rsid w:val="006E1A09"/>
    <w:rsid w:val="006E2588"/>
    <w:rsid w:val="006E25BE"/>
    <w:rsid w:val="006E3B5D"/>
    <w:rsid w:val="006E3DDC"/>
    <w:rsid w:val="006F0163"/>
    <w:rsid w:val="006F1661"/>
    <w:rsid w:val="006F296B"/>
    <w:rsid w:val="006F3362"/>
    <w:rsid w:val="006F46C4"/>
    <w:rsid w:val="006F4707"/>
    <w:rsid w:val="006F4C2B"/>
    <w:rsid w:val="006F6863"/>
    <w:rsid w:val="00700B92"/>
    <w:rsid w:val="007065E3"/>
    <w:rsid w:val="00706B86"/>
    <w:rsid w:val="00706B92"/>
    <w:rsid w:val="00707E95"/>
    <w:rsid w:val="00710718"/>
    <w:rsid w:val="007112C4"/>
    <w:rsid w:val="007118B6"/>
    <w:rsid w:val="00711F29"/>
    <w:rsid w:val="0071469F"/>
    <w:rsid w:val="00715780"/>
    <w:rsid w:val="00716D72"/>
    <w:rsid w:val="00716F71"/>
    <w:rsid w:val="00720EF0"/>
    <w:rsid w:val="00722D7B"/>
    <w:rsid w:val="007236E1"/>
    <w:rsid w:val="007262CE"/>
    <w:rsid w:val="00726329"/>
    <w:rsid w:val="007263A1"/>
    <w:rsid w:val="0072656E"/>
    <w:rsid w:val="00726FDE"/>
    <w:rsid w:val="00727291"/>
    <w:rsid w:val="00727FB9"/>
    <w:rsid w:val="0073047A"/>
    <w:rsid w:val="0073222D"/>
    <w:rsid w:val="00732F7A"/>
    <w:rsid w:val="00733312"/>
    <w:rsid w:val="007340A4"/>
    <w:rsid w:val="00734724"/>
    <w:rsid w:val="00734F2C"/>
    <w:rsid w:val="007352DF"/>
    <w:rsid w:val="00736817"/>
    <w:rsid w:val="00737641"/>
    <w:rsid w:val="00737D88"/>
    <w:rsid w:val="00741F64"/>
    <w:rsid w:val="007432EB"/>
    <w:rsid w:val="00744FB1"/>
    <w:rsid w:val="0074534D"/>
    <w:rsid w:val="007467E6"/>
    <w:rsid w:val="0074777C"/>
    <w:rsid w:val="00750725"/>
    <w:rsid w:val="007513D4"/>
    <w:rsid w:val="00752E2E"/>
    <w:rsid w:val="007535EC"/>
    <w:rsid w:val="0075558F"/>
    <w:rsid w:val="007602B4"/>
    <w:rsid w:val="00760C3F"/>
    <w:rsid w:val="00761F46"/>
    <w:rsid w:val="0076322A"/>
    <w:rsid w:val="00763453"/>
    <w:rsid w:val="00764092"/>
    <w:rsid w:val="007650C5"/>
    <w:rsid w:val="007672F5"/>
    <w:rsid w:val="00767E3B"/>
    <w:rsid w:val="00767FA0"/>
    <w:rsid w:val="00770E25"/>
    <w:rsid w:val="007714ED"/>
    <w:rsid w:val="007728A1"/>
    <w:rsid w:val="00772FB9"/>
    <w:rsid w:val="00775C37"/>
    <w:rsid w:val="00775E22"/>
    <w:rsid w:val="0077702A"/>
    <w:rsid w:val="007801A0"/>
    <w:rsid w:val="00780759"/>
    <w:rsid w:val="007809B7"/>
    <w:rsid w:val="00784FE4"/>
    <w:rsid w:val="0078687D"/>
    <w:rsid w:val="00790514"/>
    <w:rsid w:val="00792D61"/>
    <w:rsid w:val="007931B2"/>
    <w:rsid w:val="00793234"/>
    <w:rsid w:val="00793CF1"/>
    <w:rsid w:val="00796115"/>
    <w:rsid w:val="00796B24"/>
    <w:rsid w:val="007971F2"/>
    <w:rsid w:val="00797F69"/>
    <w:rsid w:val="007A0129"/>
    <w:rsid w:val="007A04BC"/>
    <w:rsid w:val="007A0FFA"/>
    <w:rsid w:val="007A1F12"/>
    <w:rsid w:val="007A2423"/>
    <w:rsid w:val="007A2C23"/>
    <w:rsid w:val="007A2F4D"/>
    <w:rsid w:val="007A35F6"/>
    <w:rsid w:val="007A373D"/>
    <w:rsid w:val="007A3F03"/>
    <w:rsid w:val="007A5937"/>
    <w:rsid w:val="007A7EE5"/>
    <w:rsid w:val="007B1469"/>
    <w:rsid w:val="007B1F88"/>
    <w:rsid w:val="007B6EDA"/>
    <w:rsid w:val="007C02DE"/>
    <w:rsid w:val="007C189F"/>
    <w:rsid w:val="007C243B"/>
    <w:rsid w:val="007C2B62"/>
    <w:rsid w:val="007C2BA9"/>
    <w:rsid w:val="007C3A83"/>
    <w:rsid w:val="007C3CCE"/>
    <w:rsid w:val="007C4021"/>
    <w:rsid w:val="007C4768"/>
    <w:rsid w:val="007C5134"/>
    <w:rsid w:val="007C5135"/>
    <w:rsid w:val="007C523F"/>
    <w:rsid w:val="007C6ABA"/>
    <w:rsid w:val="007C7054"/>
    <w:rsid w:val="007C72F6"/>
    <w:rsid w:val="007D18DD"/>
    <w:rsid w:val="007D1FA3"/>
    <w:rsid w:val="007D2FAE"/>
    <w:rsid w:val="007D3601"/>
    <w:rsid w:val="007D450B"/>
    <w:rsid w:val="007D66D4"/>
    <w:rsid w:val="007D7062"/>
    <w:rsid w:val="007D7A68"/>
    <w:rsid w:val="007E01B5"/>
    <w:rsid w:val="007E0666"/>
    <w:rsid w:val="007E1687"/>
    <w:rsid w:val="007E3C58"/>
    <w:rsid w:val="007E5D1A"/>
    <w:rsid w:val="007E6CEA"/>
    <w:rsid w:val="007E7125"/>
    <w:rsid w:val="007F1193"/>
    <w:rsid w:val="007F2CE3"/>
    <w:rsid w:val="007F2E65"/>
    <w:rsid w:val="007F3370"/>
    <w:rsid w:val="007F5824"/>
    <w:rsid w:val="007F5F8D"/>
    <w:rsid w:val="007F6124"/>
    <w:rsid w:val="007F69E6"/>
    <w:rsid w:val="007F7A92"/>
    <w:rsid w:val="00800D7A"/>
    <w:rsid w:val="008024C4"/>
    <w:rsid w:val="008056B4"/>
    <w:rsid w:val="00810E89"/>
    <w:rsid w:val="00811C7D"/>
    <w:rsid w:val="00811CCA"/>
    <w:rsid w:val="00811ED3"/>
    <w:rsid w:val="008152AB"/>
    <w:rsid w:val="0081623F"/>
    <w:rsid w:val="00817137"/>
    <w:rsid w:val="00823B8A"/>
    <w:rsid w:val="00823C05"/>
    <w:rsid w:val="00826015"/>
    <w:rsid w:val="00826355"/>
    <w:rsid w:val="0082694D"/>
    <w:rsid w:val="00830D6A"/>
    <w:rsid w:val="00830DE6"/>
    <w:rsid w:val="00831390"/>
    <w:rsid w:val="00831421"/>
    <w:rsid w:val="00832E94"/>
    <w:rsid w:val="00836341"/>
    <w:rsid w:val="0083684F"/>
    <w:rsid w:val="0084021F"/>
    <w:rsid w:val="00841EFE"/>
    <w:rsid w:val="00842DB8"/>
    <w:rsid w:val="00844E62"/>
    <w:rsid w:val="008458C0"/>
    <w:rsid w:val="0084688D"/>
    <w:rsid w:val="00847038"/>
    <w:rsid w:val="0085111D"/>
    <w:rsid w:val="0085227F"/>
    <w:rsid w:val="00852DA1"/>
    <w:rsid w:val="00857094"/>
    <w:rsid w:val="00857166"/>
    <w:rsid w:val="00860231"/>
    <w:rsid w:val="0086273D"/>
    <w:rsid w:val="00863045"/>
    <w:rsid w:val="00864FD1"/>
    <w:rsid w:val="00865168"/>
    <w:rsid w:val="00865F1A"/>
    <w:rsid w:val="00866ACA"/>
    <w:rsid w:val="00867B3C"/>
    <w:rsid w:val="00870942"/>
    <w:rsid w:val="00870C53"/>
    <w:rsid w:val="0087183B"/>
    <w:rsid w:val="0087478B"/>
    <w:rsid w:val="00876470"/>
    <w:rsid w:val="008806C7"/>
    <w:rsid w:val="00881083"/>
    <w:rsid w:val="008814A1"/>
    <w:rsid w:val="00882251"/>
    <w:rsid w:val="00883BE2"/>
    <w:rsid w:val="0088418D"/>
    <w:rsid w:val="00884835"/>
    <w:rsid w:val="00886264"/>
    <w:rsid w:val="00887176"/>
    <w:rsid w:val="00887217"/>
    <w:rsid w:val="0089368A"/>
    <w:rsid w:val="00895CCE"/>
    <w:rsid w:val="00897174"/>
    <w:rsid w:val="00897907"/>
    <w:rsid w:val="00897CE6"/>
    <w:rsid w:val="00897DA7"/>
    <w:rsid w:val="008A1050"/>
    <w:rsid w:val="008A196A"/>
    <w:rsid w:val="008A3045"/>
    <w:rsid w:val="008A31E8"/>
    <w:rsid w:val="008B0F1B"/>
    <w:rsid w:val="008B241A"/>
    <w:rsid w:val="008B2D39"/>
    <w:rsid w:val="008B3F59"/>
    <w:rsid w:val="008B4E72"/>
    <w:rsid w:val="008B5F8B"/>
    <w:rsid w:val="008B63DC"/>
    <w:rsid w:val="008B6C51"/>
    <w:rsid w:val="008B6F5A"/>
    <w:rsid w:val="008B7079"/>
    <w:rsid w:val="008C0CFE"/>
    <w:rsid w:val="008C1491"/>
    <w:rsid w:val="008C2653"/>
    <w:rsid w:val="008C2E05"/>
    <w:rsid w:val="008C3D8B"/>
    <w:rsid w:val="008D1960"/>
    <w:rsid w:val="008D20C0"/>
    <w:rsid w:val="008D34CC"/>
    <w:rsid w:val="008D3573"/>
    <w:rsid w:val="008D364A"/>
    <w:rsid w:val="008D4253"/>
    <w:rsid w:val="008D5978"/>
    <w:rsid w:val="008D5CC5"/>
    <w:rsid w:val="008D5F1B"/>
    <w:rsid w:val="008D6110"/>
    <w:rsid w:val="008D73E9"/>
    <w:rsid w:val="008D7B04"/>
    <w:rsid w:val="008E032A"/>
    <w:rsid w:val="008E0FA6"/>
    <w:rsid w:val="008E24F0"/>
    <w:rsid w:val="008E294B"/>
    <w:rsid w:val="008E30AB"/>
    <w:rsid w:val="008E3EEE"/>
    <w:rsid w:val="008E5173"/>
    <w:rsid w:val="008E5E1B"/>
    <w:rsid w:val="008E5F40"/>
    <w:rsid w:val="008E6F78"/>
    <w:rsid w:val="008F0265"/>
    <w:rsid w:val="008F08FE"/>
    <w:rsid w:val="008F0AA9"/>
    <w:rsid w:val="008F107D"/>
    <w:rsid w:val="008F314F"/>
    <w:rsid w:val="008F38A4"/>
    <w:rsid w:val="008F466E"/>
    <w:rsid w:val="008F7149"/>
    <w:rsid w:val="008F76E6"/>
    <w:rsid w:val="008F784F"/>
    <w:rsid w:val="008F7A81"/>
    <w:rsid w:val="009007A9"/>
    <w:rsid w:val="00900910"/>
    <w:rsid w:val="00902AC2"/>
    <w:rsid w:val="00903DFB"/>
    <w:rsid w:val="00904BB4"/>
    <w:rsid w:val="00907632"/>
    <w:rsid w:val="00911FBA"/>
    <w:rsid w:val="009127B9"/>
    <w:rsid w:val="009133EB"/>
    <w:rsid w:val="00914D6A"/>
    <w:rsid w:val="009158FE"/>
    <w:rsid w:val="00915AE0"/>
    <w:rsid w:val="0092108B"/>
    <w:rsid w:val="009215E0"/>
    <w:rsid w:val="00921B7D"/>
    <w:rsid w:val="009231B7"/>
    <w:rsid w:val="00923220"/>
    <w:rsid w:val="009254D7"/>
    <w:rsid w:val="009256CC"/>
    <w:rsid w:val="0092610F"/>
    <w:rsid w:val="00927A2F"/>
    <w:rsid w:val="00927AE1"/>
    <w:rsid w:val="00932F21"/>
    <w:rsid w:val="00936B5E"/>
    <w:rsid w:val="00936E02"/>
    <w:rsid w:val="009374F3"/>
    <w:rsid w:val="00941985"/>
    <w:rsid w:val="00941F2D"/>
    <w:rsid w:val="00942073"/>
    <w:rsid w:val="00942157"/>
    <w:rsid w:val="009440F6"/>
    <w:rsid w:val="00944FE3"/>
    <w:rsid w:val="00946AE7"/>
    <w:rsid w:val="00950B8B"/>
    <w:rsid w:val="00950B8F"/>
    <w:rsid w:val="009539A3"/>
    <w:rsid w:val="00953B88"/>
    <w:rsid w:val="00953D95"/>
    <w:rsid w:val="00956165"/>
    <w:rsid w:val="00956EB6"/>
    <w:rsid w:val="00957215"/>
    <w:rsid w:val="0095739F"/>
    <w:rsid w:val="00957591"/>
    <w:rsid w:val="00957B54"/>
    <w:rsid w:val="00957B80"/>
    <w:rsid w:val="00957CF2"/>
    <w:rsid w:val="00962A33"/>
    <w:rsid w:val="00963BE6"/>
    <w:rsid w:val="00964B01"/>
    <w:rsid w:val="0096513F"/>
    <w:rsid w:val="00966AE3"/>
    <w:rsid w:val="00971D98"/>
    <w:rsid w:val="009725C4"/>
    <w:rsid w:val="009728F7"/>
    <w:rsid w:val="0097330A"/>
    <w:rsid w:val="00975D9D"/>
    <w:rsid w:val="009769A3"/>
    <w:rsid w:val="00976B1A"/>
    <w:rsid w:val="00976F00"/>
    <w:rsid w:val="009770A0"/>
    <w:rsid w:val="009802ED"/>
    <w:rsid w:val="00980E9A"/>
    <w:rsid w:val="00981832"/>
    <w:rsid w:val="009838DE"/>
    <w:rsid w:val="0098396C"/>
    <w:rsid w:val="00984BFC"/>
    <w:rsid w:val="0098622C"/>
    <w:rsid w:val="0098718A"/>
    <w:rsid w:val="009879D5"/>
    <w:rsid w:val="00991D51"/>
    <w:rsid w:val="00992D4B"/>
    <w:rsid w:val="00992D6A"/>
    <w:rsid w:val="009934F9"/>
    <w:rsid w:val="00994011"/>
    <w:rsid w:val="0099619D"/>
    <w:rsid w:val="00996C7E"/>
    <w:rsid w:val="00997CB6"/>
    <w:rsid w:val="009A3235"/>
    <w:rsid w:val="009A3990"/>
    <w:rsid w:val="009A3C89"/>
    <w:rsid w:val="009A52AD"/>
    <w:rsid w:val="009A5A31"/>
    <w:rsid w:val="009A74D8"/>
    <w:rsid w:val="009A7B63"/>
    <w:rsid w:val="009B07C7"/>
    <w:rsid w:val="009B089B"/>
    <w:rsid w:val="009B36E4"/>
    <w:rsid w:val="009B4A19"/>
    <w:rsid w:val="009B5B18"/>
    <w:rsid w:val="009B5ECB"/>
    <w:rsid w:val="009B66DE"/>
    <w:rsid w:val="009B6E26"/>
    <w:rsid w:val="009B72B4"/>
    <w:rsid w:val="009C3713"/>
    <w:rsid w:val="009C392E"/>
    <w:rsid w:val="009C4932"/>
    <w:rsid w:val="009C5C1F"/>
    <w:rsid w:val="009C7A5D"/>
    <w:rsid w:val="009D0484"/>
    <w:rsid w:val="009D09F9"/>
    <w:rsid w:val="009D10C7"/>
    <w:rsid w:val="009D18EC"/>
    <w:rsid w:val="009D2AFD"/>
    <w:rsid w:val="009D3AE6"/>
    <w:rsid w:val="009D4293"/>
    <w:rsid w:val="009D63F8"/>
    <w:rsid w:val="009D6FF4"/>
    <w:rsid w:val="009D7C15"/>
    <w:rsid w:val="009E15CC"/>
    <w:rsid w:val="009E251F"/>
    <w:rsid w:val="009E2581"/>
    <w:rsid w:val="009E4282"/>
    <w:rsid w:val="009E4D21"/>
    <w:rsid w:val="009E56FE"/>
    <w:rsid w:val="009E7C81"/>
    <w:rsid w:val="009F2990"/>
    <w:rsid w:val="009F4288"/>
    <w:rsid w:val="009F5A04"/>
    <w:rsid w:val="009F5A5C"/>
    <w:rsid w:val="009F6757"/>
    <w:rsid w:val="00A02419"/>
    <w:rsid w:val="00A0303E"/>
    <w:rsid w:val="00A0310D"/>
    <w:rsid w:val="00A036E7"/>
    <w:rsid w:val="00A04449"/>
    <w:rsid w:val="00A04D7F"/>
    <w:rsid w:val="00A05FC0"/>
    <w:rsid w:val="00A05FF3"/>
    <w:rsid w:val="00A07145"/>
    <w:rsid w:val="00A12335"/>
    <w:rsid w:val="00A13708"/>
    <w:rsid w:val="00A13791"/>
    <w:rsid w:val="00A15984"/>
    <w:rsid w:val="00A169C7"/>
    <w:rsid w:val="00A16C61"/>
    <w:rsid w:val="00A21597"/>
    <w:rsid w:val="00A22060"/>
    <w:rsid w:val="00A226EC"/>
    <w:rsid w:val="00A25117"/>
    <w:rsid w:val="00A255FE"/>
    <w:rsid w:val="00A260EF"/>
    <w:rsid w:val="00A272BD"/>
    <w:rsid w:val="00A27CC9"/>
    <w:rsid w:val="00A31AF4"/>
    <w:rsid w:val="00A320BD"/>
    <w:rsid w:val="00A32255"/>
    <w:rsid w:val="00A33A0C"/>
    <w:rsid w:val="00A34D18"/>
    <w:rsid w:val="00A355AC"/>
    <w:rsid w:val="00A3611E"/>
    <w:rsid w:val="00A4168A"/>
    <w:rsid w:val="00A41A1D"/>
    <w:rsid w:val="00A42F99"/>
    <w:rsid w:val="00A43BEC"/>
    <w:rsid w:val="00A470B4"/>
    <w:rsid w:val="00A47E08"/>
    <w:rsid w:val="00A51EE2"/>
    <w:rsid w:val="00A522AB"/>
    <w:rsid w:val="00A52F49"/>
    <w:rsid w:val="00A53789"/>
    <w:rsid w:val="00A53BF2"/>
    <w:rsid w:val="00A540D7"/>
    <w:rsid w:val="00A572B5"/>
    <w:rsid w:val="00A6032B"/>
    <w:rsid w:val="00A621BD"/>
    <w:rsid w:val="00A622B1"/>
    <w:rsid w:val="00A62623"/>
    <w:rsid w:val="00A64183"/>
    <w:rsid w:val="00A65822"/>
    <w:rsid w:val="00A66F6C"/>
    <w:rsid w:val="00A67603"/>
    <w:rsid w:val="00A67719"/>
    <w:rsid w:val="00A713A2"/>
    <w:rsid w:val="00A739A7"/>
    <w:rsid w:val="00A7408F"/>
    <w:rsid w:val="00A7468F"/>
    <w:rsid w:val="00A77167"/>
    <w:rsid w:val="00A813DB"/>
    <w:rsid w:val="00A8183E"/>
    <w:rsid w:val="00A82B89"/>
    <w:rsid w:val="00A83422"/>
    <w:rsid w:val="00A86BDE"/>
    <w:rsid w:val="00A93676"/>
    <w:rsid w:val="00A93E6D"/>
    <w:rsid w:val="00A940F4"/>
    <w:rsid w:val="00A94EE2"/>
    <w:rsid w:val="00AA0389"/>
    <w:rsid w:val="00AA3A2F"/>
    <w:rsid w:val="00AA4F43"/>
    <w:rsid w:val="00AA73C9"/>
    <w:rsid w:val="00AA7878"/>
    <w:rsid w:val="00AB0ABE"/>
    <w:rsid w:val="00AB0AD8"/>
    <w:rsid w:val="00AB10BF"/>
    <w:rsid w:val="00AB16D9"/>
    <w:rsid w:val="00AB2CE5"/>
    <w:rsid w:val="00AB30E9"/>
    <w:rsid w:val="00AB3927"/>
    <w:rsid w:val="00AB4F9E"/>
    <w:rsid w:val="00AB596D"/>
    <w:rsid w:val="00AB625E"/>
    <w:rsid w:val="00AB736E"/>
    <w:rsid w:val="00AC3A27"/>
    <w:rsid w:val="00AC3B26"/>
    <w:rsid w:val="00AC6F18"/>
    <w:rsid w:val="00AD0C6D"/>
    <w:rsid w:val="00AD49BB"/>
    <w:rsid w:val="00AE0789"/>
    <w:rsid w:val="00AE1EDE"/>
    <w:rsid w:val="00AE2A2A"/>
    <w:rsid w:val="00AE4529"/>
    <w:rsid w:val="00AF07AA"/>
    <w:rsid w:val="00AF3AF1"/>
    <w:rsid w:val="00AF68D1"/>
    <w:rsid w:val="00AF6ABD"/>
    <w:rsid w:val="00AF7F39"/>
    <w:rsid w:val="00B00E9B"/>
    <w:rsid w:val="00B00F97"/>
    <w:rsid w:val="00B01957"/>
    <w:rsid w:val="00B0324D"/>
    <w:rsid w:val="00B06396"/>
    <w:rsid w:val="00B06716"/>
    <w:rsid w:val="00B06A05"/>
    <w:rsid w:val="00B06E7E"/>
    <w:rsid w:val="00B07010"/>
    <w:rsid w:val="00B07C37"/>
    <w:rsid w:val="00B07FA3"/>
    <w:rsid w:val="00B103E7"/>
    <w:rsid w:val="00B11A19"/>
    <w:rsid w:val="00B12EF0"/>
    <w:rsid w:val="00B1386C"/>
    <w:rsid w:val="00B13A02"/>
    <w:rsid w:val="00B14F86"/>
    <w:rsid w:val="00B15D63"/>
    <w:rsid w:val="00B2449E"/>
    <w:rsid w:val="00B24834"/>
    <w:rsid w:val="00B24FBB"/>
    <w:rsid w:val="00B26CBB"/>
    <w:rsid w:val="00B30CF3"/>
    <w:rsid w:val="00B30EBB"/>
    <w:rsid w:val="00B333F7"/>
    <w:rsid w:val="00B33B82"/>
    <w:rsid w:val="00B33F15"/>
    <w:rsid w:val="00B34990"/>
    <w:rsid w:val="00B37E49"/>
    <w:rsid w:val="00B4123E"/>
    <w:rsid w:val="00B4200B"/>
    <w:rsid w:val="00B42224"/>
    <w:rsid w:val="00B42380"/>
    <w:rsid w:val="00B42D05"/>
    <w:rsid w:val="00B43974"/>
    <w:rsid w:val="00B51C80"/>
    <w:rsid w:val="00B52A9E"/>
    <w:rsid w:val="00B52DD3"/>
    <w:rsid w:val="00B53777"/>
    <w:rsid w:val="00B53CDA"/>
    <w:rsid w:val="00B5612E"/>
    <w:rsid w:val="00B57B97"/>
    <w:rsid w:val="00B604DD"/>
    <w:rsid w:val="00B635A0"/>
    <w:rsid w:val="00B6415B"/>
    <w:rsid w:val="00B646AB"/>
    <w:rsid w:val="00B6485C"/>
    <w:rsid w:val="00B713C6"/>
    <w:rsid w:val="00B7494A"/>
    <w:rsid w:val="00B76D58"/>
    <w:rsid w:val="00B80073"/>
    <w:rsid w:val="00B80625"/>
    <w:rsid w:val="00B82F9E"/>
    <w:rsid w:val="00B83B06"/>
    <w:rsid w:val="00B858FE"/>
    <w:rsid w:val="00B85D68"/>
    <w:rsid w:val="00B865F8"/>
    <w:rsid w:val="00B91600"/>
    <w:rsid w:val="00B92C69"/>
    <w:rsid w:val="00B93446"/>
    <w:rsid w:val="00B93499"/>
    <w:rsid w:val="00B95C85"/>
    <w:rsid w:val="00B96A34"/>
    <w:rsid w:val="00B979FD"/>
    <w:rsid w:val="00B97D2D"/>
    <w:rsid w:val="00BA0485"/>
    <w:rsid w:val="00BA0F6E"/>
    <w:rsid w:val="00BA0F82"/>
    <w:rsid w:val="00BA16A2"/>
    <w:rsid w:val="00BA1F73"/>
    <w:rsid w:val="00BA2970"/>
    <w:rsid w:val="00BA6F10"/>
    <w:rsid w:val="00BA7DF1"/>
    <w:rsid w:val="00BB051D"/>
    <w:rsid w:val="00BB22C8"/>
    <w:rsid w:val="00BB294D"/>
    <w:rsid w:val="00BB44ED"/>
    <w:rsid w:val="00BB4B25"/>
    <w:rsid w:val="00BB5B04"/>
    <w:rsid w:val="00BB63A7"/>
    <w:rsid w:val="00BC04A1"/>
    <w:rsid w:val="00BC28FF"/>
    <w:rsid w:val="00BC6987"/>
    <w:rsid w:val="00BC71F5"/>
    <w:rsid w:val="00BD089E"/>
    <w:rsid w:val="00BD2E57"/>
    <w:rsid w:val="00BD3FBD"/>
    <w:rsid w:val="00BD53FB"/>
    <w:rsid w:val="00BD5451"/>
    <w:rsid w:val="00BD5EF5"/>
    <w:rsid w:val="00BD7193"/>
    <w:rsid w:val="00BD7762"/>
    <w:rsid w:val="00BE3B3E"/>
    <w:rsid w:val="00BE4DBB"/>
    <w:rsid w:val="00BE5274"/>
    <w:rsid w:val="00BE5332"/>
    <w:rsid w:val="00BE5442"/>
    <w:rsid w:val="00BE6B89"/>
    <w:rsid w:val="00BE7341"/>
    <w:rsid w:val="00BF012B"/>
    <w:rsid w:val="00BF070B"/>
    <w:rsid w:val="00BF0865"/>
    <w:rsid w:val="00BF099F"/>
    <w:rsid w:val="00BF3D83"/>
    <w:rsid w:val="00BF6852"/>
    <w:rsid w:val="00BF7DAF"/>
    <w:rsid w:val="00C0005C"/>
    <w:rsid w:val="00C01CFA"/>
    <w:rsid w:val="00C02296"/>
    <w:rsid w:val="00C02453"/>
    <w:rsid w:val="00C03608"/>
    <w:rsid w:val="00C03DC0"/>
    <w:rsid w:val="00C04DDA"/>
    <w:rsid w:val="00C04EFD"/>
    <w:rsid w:val="00C0613A"/>
    <w:rsid w:val="00C12F97"/>
    <w:rsid w:val="00C13664"/>
    <w:rsid w:val="00C140F9"/>
    <w:rsid w:val="00C161B7"/>
    <w:rsid w:val="00C16294"/>
    <w:rsid w:val="00C20014"/>
    <w:rsid w:val="00C21E16"/>
    <w:rsid w:val="00C2306A"/>
    <w:rsid w:val="00C23154"/>
    <w:rsid w:val="00C25133"/>
    <w:rsid w:val="00C25CDC"/>
    <w:rsid w:val="00C273DD"/>
    <w:rsid w:val="00C302FD"/>
    <w:rsid w:val="00C319AA"/>
    <w:rsid w:val="00C33A2E"/>
    <w:rsid w:val="00C343E3"/>
    <w:rsid w:val="00C402AD"/>
    <w:rsid w:val="00C40301"/>
    <w:rsid w:val="00C40325"/>
    <w:rsid w:val="00C4083D"/>
    <w:rsid w:val="00C4109F"/>
    <w:rsid w:val="00C41CF2"/>
    <w:rsid w:val="00C42099"/>
    <w:rsid w:val="00C4393E"/>
    <w:rsid w:val="00C442DC"/>
    <w:rsid w:val="00C445E5"/>
    <w:rsid w:val="00C44D76"/>
    <w:rsid w:val="00C525B7"/>
    <w:rsid w:val="00C525E3"/>
    <w:rsid w:val="00C537EE"/>
    <w:rsid w:val="00C60034"/>
    <w:rsid w:val="00C618D8"/>
    <w:rsid w:val="00C62E1F"/>
    <w:rsid w:val="00C6308E"/>
    <w:rsid w:val="00C65A1F"/>
    <w:rsid w:val="00C67643"/>
    <w:rsid w:val="00C708FA"/>
    <w:rsid w:val="00C71BFC"/>
    <w:rsid w:val="00C74B86"/>
    <w:rsid w:val="00C74DA6"/>
    <w:rsid w:val="00C75BE9"/>
    <w:rsid w:val="00C76164"/>
    <w:rsid w:val="00C765E1"/>
    <w:rsid w:val="00C774EB"/>
    <w:rsid w:val="00C80F44"/>
    <w:rsid w:val="00C81F1E"/>
    <w:rsid w:val="00C82983"/>
    <w:rsid w:val="00C82FEE"/>
    <w:rsid w:val="00C834CD"/>
    <w:rsid w:val="00C84DD7"/>
    <w:rsid w:val="00C84EA4"/>
    <w:rsid w:val="00C8737D"/>
    <w:rsid w:val="00C90518"/>
    <w:rsid w:val="00C9128F"/>
    <w:rsid w:val="00C91AE2"/>
    <w:rsid w:val="00C921CF"/>
    <w:rsid w:val="00C9303E"/>
    <w:rsid w:val="00C93CED"/>
    <w:rsid w:val="00C94B71"/>
    <w:rsid w:val="00C96AB1"/>
    <w:rsid w:val="00CA237D"/>
    <w:rsid w:val="00CA3334"/>
    <w:rsid w:val="00CA3ABA"/>
    <w:rsid w:val="00CA4083"/>
    <w:rsid w:val="00CA468B"/>
    <w:rsid w:val="00CA7E20"/>
    <w:rsid w:val="00CB5260"/>
    <w:rsid w:val="00CB5F29"/>
    <w:rsid w:val="00CB60E9"/>
    <w:rsid w:val="00CC086D"/>
    <w:rsid w:val="00CC24D1"/>
    <w:rsid w:val="00CC39A6"/>
    <w:rsid w:val="00CC43D4"/>
    <w:rsid w:val="00CC6222"/>
    <w:rsid w:val="00CD1600"/>
    <w:rsid w:val="00CD1A34"/>
    <w:rsid w:val="00CD2B58"/>
    <w:rsid w:val="00CD31EE"/>
    <w:rsid w:val="00CD6EDF"/>
    <w:rsid w:val="00CE352D"/>
    <w:rsid w:val="00CE4695"/>
    <w:rsid w:val="00CE4B12"/>
    <w:rsid w:val="00CE5B92"/>
    <w:rsid w:val="00CE663D"/>
    <w:rsid w:val="00CF061C"/>
    <w:rsid w:val="00CF07AF"/>
    <w:rsid w:val="00CF0C2F"/>
    <w:rsid w:val="00CF1CB9"/>
    <w:rsid w:val="00CF539E"/>
    <w:rsid w:val="00CF5A6F"/>
    <w:rsid w:val="00CF6366"/>
    <w:rsid w:val="00CF6932"/>
    <w:rsid w:val="00CF7052"/>
    <w:rsid w:val="00CF7077"/>
    <w:rsid w:val="00D003CD"/>
    <w:rsid w:val="00D003FD"/>
    <w:rsid w:val="00D027D9"/>
    <w:rsid w:val="00D02AA9"/>
    <w:rsid w:val="00D0399B"/>
    <w:rsid w:val="00D04292"/>
    <w:rsid w:val="00D04A0F"/>
    <w:rsid w:val="00D06601"/>
    <w:rsid w:val="00D10B52"/>
    <w:rsid w:val="00D13EEC"/>
    <w:rsid w:val="00D15FBA"/>
    <w:rsid w:val="00D167AF"/>
    <w:rsid w:val="00D21364"/>
    <w:rsid w:val="00D219EF"/>
    <w:rsid w:val="00D21DF1"/>
    <w:rsid w:val="00D226AB"/>
    <w:rsid w:val="00D25169"/>
    <w:rsid w:val="00D25322"/>
    <w:rsid w:val="00D2592B"/>
    <w:rsid w:val="00D32DBE"/>
    <w:rsid w:val="00D3394B"/>
    <w:rsid w:val="00D355AE"/>
    <w:rsid w:val="00D361BB"/>
    <w:rsid w:val="00D36993"/>
    <w:rsid w:val="00D41D06"/>
    <w:rsid w:val="00D41DB0"/>
    <w:rsid w:val="00D4388D"/>
    <w:rsid w:val="00D46497"/>
    <w:rsid w:val="00D46900"/>
    <w:rsid w:val="00D47EDD"/>
    <w:rsid w:val="00D50B50"/>
    <w:rsid w:val="00D518A6"/>
    <w:rsid w:val="00D57D3D"/>
    <w:rsid w:val="00D61D1C"/>
    <w:rsid w:val="00D641F2"/>
    <w:rsid w:val="00D64B34"/>
    <w:rsid w:val="00D65FAC"/>
    <w:rsid w:val="00D6768D"/>
    <w:rsid w:val="00D700A2"/>
    <w:rsid w:val="00D701A6"/>
    <w:rsid w:val="00D71B7A"/>
    <w:rsid w:val="00D7208E"/>
    <w:rsid w:val="00D7332F"/>
    <w:rsid w:val="00D734D3"/>
    <w:rsid w:val="00D7657D"/>
    <w:rsid w:val="00D769F2"/>
    <w:rsid w:val="00D76D99"/>
    <w:rsid w:val="00D81C7B"/>
    <w:rsid w:val="00D81E16"/>
    <w:rsid w:val="00D82B4E"/>
    <w:rsid w:val="00D861F8"/>
    <w:rsid w:val="00D90752"/>
    <w:rsid w:val="00D90C23"/>
    <w:rsid w:val="00D91722"/>
    <w:rsid w:val="00D92A2B"/>
    <w:rsid w:val="00D92D0D"/>
    <w:rsid w:val="00D92EF2"/>
    <w:rsid w:val="00D94BF8"/>
    <w:rsid w:val="00D95593"/>
    <w:rsid w:val="00D96CB0"/>
    <w:rsid w:val="00D978CA"/>
    <w:rsid w:val="00DA0162"/>
    <w:rsid w:val="00DA0751"/>
    <w:rsid w:val="00DA0BC6"/>
    <w:rsid w:val="00DA191F"/>
    <w:rsid w:val="00DA361E"/>
    <w:rsid w:val="00DA545B"/>
    <w:rsid w:val="00DA5D8A"/>
    <w:rsid w:val="00DA6071"/>
    <w:rsid w:val="00DA6750"/>
    <w:rsid w:val="00DA6B3B"/>
    <w:rsid w:val="00DB3CD2"/>
    <w:rsid w:val="00DB467B"/>
    <w:rsid w:val="00DB69D8"/>
    <w:rsid w:val="00DB7742"/>
    <w:rsid w:val="00DC1430"/>
    <w:rsid w:val="00DC2823"/>
    <w:rsid w:val="00DC5998"/>
    <w:rsid w:val="00DD0E21"/>
    <w:rsid w:val="00DD3847"/>
    <w:rsid w:val="00DD3949"/>
    <w:rsid w:val="00DD3955"/>
    <w:rsid w:val="00DD4C7D"/>
    <w:rsid w:val="00DD5490"/>
    <w:rsid w:val="00DD5FA5"/>
    <w:rsid w:val="00DD7543"/>
    <w:rsid w:val="00DD7A11"/>
    <w:rsid w:val="00DD7BE7"/>
    <w:rsid w:val="00DE1586"/>
    <w:rsid w:val="00DE1CCF"/>
    <w:rsid w:val="00DE3993"/>
    <w:rsid w:val="00DE5602"/>
    <w:rsid w:val="00DE61EA"/>
    <w:rsid w:val="00DE71AB"/>
    <w:rsid w:val="00DE7619"/>
    <w:rsid w:val="00DE77D4"/>
    <w:rsid w:val="00DF13BC"/>
    <w:rsid w:val="00DF3501"/>
    <w:rsid w:val="00DF39BC"/>
    <w:rsid w:val="00DF3E4B"/>
    <w:rsid w:val="00DF71AE"/>
    <w:rsid w:val="00DF7E33"/>
    <w:rsid w:val="00E01398"/>
    <w:rsid w:val="00E02DE6"/>
    <w:rsid w:val="00E03FE1"/>
    <w:rsid w:val="00E101C8"/>
    <w:rsid w:val="00E10DB6"/>
    <w:rsid w:val="00E1114E"/>
    <w:rsid w:val="00E148A6"/>
    <w:rsid w:val="00E15404"/>
    <w:rsid w:val="00E15F59"/>
    <w:rsid w:val="00E16D66"/>
    <w:rsid w:val="00E21405"/>
    <w:rsid w:val="00E21D2B"/>
    <w:rsid w:val="00E22B92"/>
    <w:rsid w:val="00E240F3"/>
    <w:rsid w:val="00E25A64"/>
    <w:rsid w:val="00E25AEC"/>
    <w:rsid w:val="00E26383"/>
    <w:rsid w:val="00E3062B"/>
    <w:rsid w:val="00E31B03"/>
    <w:rsid w:val="00E336AA"/>
    <w:rsid w:val="00E33E1F"/>
    <w:rsid w:val="00E34936"/>
    <w:rsid w:val="00E37FDC"/>
    <w:rsid w:val="00E414A4"/>
    <w:rsid w:val="00E41540"/>
    <w:rsid w:val="00E44E63"/>
    <w:rsid w:val="00E45170"/>
    <w:rsid w:val="00E464B8"/>
    <w:rsid w:val="00E469A8"/>
    <w:rsid w:val="00E46B61"/>
    <w:rsid w:val="00E47437"/>
    <w:rsid w:val="00E50D9E"/>
    <w:rsid w:val="00E51944"/>
    <w:rsid w:val="00E53B27"/>
    <w:rsid w:val="00E5447F"/>
    <w:rsid w:val="00E559F3"/>
    <w:rsid w:val="00E559F5"/>
    <w:rsid w:val="00E55D7E"/>
    <w:rsid w:val="00E600F7"/>
    <w:rsid w:val="00E61C53"/>
    <w:rsid w:val="00E636D1"/>
    <w:rsid w:val="00E63C44"/>
    <w:rsid w:val="00E70F0F"/>
    <w:rsid w:val="00E71058"/>
    <w:rsid w:val="00E7149B"/>
    <w:rsid w:val="00E734B9"/>
    <w:rsid w:val="00E7435F"/>
    <w:rsid w:val="00E744C3"/>
    <w:rsid w:val="00E760B1"/>
    <w:rsid w:val="00E8166B"/>
    <w:rsid w:val="00E81BA4"/>
    <w:rsid w:val="00E82069"/>
    <w:rsid w:val="00E8577D"/>
    <w:rsid w:val="00E85D96"/>
    <w:rsid w:val="00E87622"/>
    <w:rsid w:val="00E90D0A"/>
    <w:rsid w:val="00E9149A"/>
    <w:rsid w:val="00E91B0B"/>
    <w:rsid w:val="00E91F14"/>
    <w:rsid w:val="00E9298C"/>
    <w:rsid w:val="00E934CF"/>
    <w:rsid w:val="00E93C67"/>
    <w:rsid w:val="00E94A9D"/>
    <w:rsid w:val="00E95694"/>
    <w:rsid w:val="00E95A74"/>
    <w:rsid w:val="00EA2031"/>
    <w:rsid w:val="00EA2973"/>
    <w:rsid w:val="00EA29AF"/>
    <w:rsid w:val="00EA4278"/>
    <w:rsid w:val="00EA4E8B"/>
    <w:rsid w:val="00EA51D7"/>
    <w:rsid w:val="00EA5966"/>
    <w:rsid w:val="00EA6E09"/>
    <w:rsid w:val="00EB04CB"/>
    <w:rsid w:val="00EB0602"/>
    <w:rsid w:val="00EB2843"/>
    <w:rsid w:val="00EB4A52"/>
    <w:rsid w:val="00EB572E"/>
    <w:rsid w:val="00EB573D"/>
    <w:rsid w:val="00EB6C2A"/>
    <w:rsid w:val="00EB6E4A"/>
    <w:rsid w:val="00EB74A4"/>
    <w:rsid w:val="00EB7ACE"/>
    <w:rsid w:val="00EC022B"/>
    <w:rsid w:val="00EC0F51"/>
    <w:rsid w:val="00EC1024"/>
    <w:rsid w:val="00EC1425"/>
    <w:rsid w:val="00EC1CC8"/>
    <w:rsid w:val="00EC5E76"/>
    <w:rsid w:val="00EC6DFC"/>
    <w:rsid w:val="00EC7918"/>
    <w:rsid w:val="00ED0934"/>
    <w:rsid w:val="00ED3532"/>
    <w:rsid w:val="00ED4671"/>
    <w:rsid w:val="00ED5BB5"/>
    <w:rsid w:val="00ED5C2C"/>
    <w:rsid w:val="00ED67B5"/>
    <w:rsid w:val="00ED7BBC"/>
    <w:rsid w:val="00EE4E8D"/>
    <w:rsid w:val="00EE54C4"/>
    <w:rsid w:val="00EE65D5"/>
    <w:rsid w:val="00EE6971"/>
    <w:rsid w:val="00EF1A33"/>
    <w:rsid w:val="00EF2E68"/>
    <w:rsid w:val="00EF3435"/>
    <w:rsid w:val="00EF5468"/>
    <w:rsid w:val="00EF65DD"/>
    <w:rsid w:val="00EF71CF"/>
    <w:rsid w:val="00F00E3D"/>
    <w:rsid w:val="00F01815"/>
    <w:rsid w:val="00F030A9"/>
    <w:rsid w:val="00F04F70"/>
    <w:rsid w:val="00F0563F"/>
    <w:rsid w:val="00F05C7D"/>
    <w:rsid w:val="00F07A1A"/>
    <w:rsid w:val="00F07CD5"/>
    <w:rsid w:val="00F1011E"/>
    <w:rsid w:val="00F10530"/>
    <w:rsid w:val="00F115A0"/>
    <w:rsid w:val="00F1219C"/>
    <w:rsid w:val="00F129BF"/>
    <w:rsid w:val="00F12DB5"/>
    <w:rsid w:val="00F13493"/>
    <w:rsid w:val="00F13F06"/>
    <w:rsid w:val="00F15099"/>
    <w:rsid w:val="00F15167"/>
    <w:rsid w:val="00F15552"/>
    <w:rsid w:val="00F165B3"/>
    <w:rsid w:val="00F2067F"/>
    <w:rsid w:val="00F21428"/>
    <w:rsid w:val="00F2189E"/>
    <w:rsid w:val="00F22937"/>
    <w:rsid w:val="00F236AC"/>
    <w:rsid w:val="00F24B11"/>
    <w:rsid w:val="00F25EFB"/>
    <w:rsid w:val="00F26745"/>
    <w:rsid w:val="00F303C6"/>
    <w:rsid w:val="00F31D33"/>
    <w:rsid w:val="00F329E5"/>
    <w:rsid w:val="00F34424"/>
    <w:rsid w:val="00F354E6"/>
    <w:rsid w:val="00F35D8F"/>
    <w:rsid w:val="00F36095"/>
    <w:rsid w:val="00F37477"/>
    <w:rsid w:val="00F37600"/>
    <w:rsid w:val="00F400B9"/>
    <w:rsid w:val="00F45C86"/>
    <w:rsid w:val="00F46C8C"/>
    <w:rsid w:val="00F46E78"/>
    <w:rsid w:val="00F47DD2"/>
    <w:rsid w:val="00F50A55"/>
    <w:rsid w:val="00F52CA2"/>
    <w:rsid w:val="00F52DAE"/>
    <w:rsid w:val="00F52F1F"/>
    <w:rsid w:val="00F53357"/>
    <w:rsid w:val="00F54CDB"/>
    <w:rsid w:val="00F54DED"/>
    <w:rsid w:val="00F5527A"/>
    <w:rsid w:val="00F5576B"/>
    <w:rsid w:val="00F56305"/>
    <w:rsid w:val="00F57EF4"/>
    <w:rsid w:val="00F608A8"/>
    <w:rsid w:val="00F60E24"/>
    <w:rsid w:val="00F622C1"/>
    <w:rsid w:val="00F63370"/>
    <w:rsid w:val="00F63FB6"/>
    <w:rsid w:val="00F65E94"/>
    <w:rsid w:val="00F665EF"/>
    <w:rsid w:val="00F66EE9"/>
    <w:rsid w:val="00F7139C"/>
    <w:rsid w:val="00F72DC3"/>
    <w:rsid w:val="00F72F2F"/>
    <w:rsid w:val="00F7353B"/>
    <w:rsid w:val="00F73D2F"/>
    <w:rsid w:val="00F74602"/>
    <w:rsid w:val="00F805A5"/>
    <w:rsid w:val="00F80632"/>
    <w:rsid w:val="00F80C71"/>
    <w:rsid w:val="00F80EC3"/>
    <w:rsid w:val="00F811A7"/>
    <w:rsid w:val="00F82146"/>
    <w:rsid w:val="00F823C3"/>
    <w:rsid w:val="00F8385B"/>
    <w:rsid w:val="00F841F1"/>
    <w:rsid w:val="00F86251"/>
    <w:rsid w:val="00F90E3C"/>
    <w:rsid w:val="00F91C3A"/>
    <w:rsid w:val="00F939B7"/>
    <w:rsid w:val="00F955B5"/>
    <w:rsid w:val="00F96235"/>
    <w:rsid w:val="00F969CE"/>
    <w:rsid w:val="00F97282"/>
    <w:rsid w:val="00FA0D22"/>
    <w:rsid w:val="00FA21EA"/>
    <w:rsid w:val="00FA287F"/>
    <w:rsid w:val="00FA3576"/>
    <w:rsid w:val="00FA3EC6"/>
    <w:rsid w:val="00FA4D5B"/>
    <w:rsid w:val="00FA4FAC"/>
    <w:rsid w:val="00FB0F27"/>
    <w:rsid w:val="00FB2847"/>
    <w:rsid w:val="00FB36FC"/>
    <w:rsid w:val="00FB3980"/>
    <w:rsid w:val="00FB49C3"/>
    <w:rsid w:val="00FB5739"/>
    <w:rsid w:val="00FB5B5F"/>
    <w:rsid w:val="00FB66F9"/>
    <w:rsid w:val="00FC1123"/>
    <w:rsid w:val="00FC3DAB"/>
    <w:rsid w:val="00FC693B"/>
    <w:rsid w:val="00FC799C"/>
    <w:rsid w:val="00FC7E0E"/>
    <w:rsid w:val="00FD4A5F"/>
    <w:rsid w:val="00FD4B90"/>
    <w:rsid w:val="00FD6112"/>
    <w:rsid w:val="00FD6447"/>
    <w:rsid w:val="00FD6867"/>
    <w:rsid w:val="00FE113F"/>
    <w:rsid w:val="00FE14A3"/>
    <w:rsid w:val="00FE322A"/>
    <w:rsid w:val="00FE3BC4"/>
    <w:rsid w:val="00FE46A1"/>
    <w:rsid w:val="00FE581C"/>
    <w:rsid w:val="00FE61A9"/>
    <w:rsid w:val="00FE76C9"/>
    <w:rsid w:val="00FE7AC9"/>
    <w:rsid w:val="00FF04C2"/>
    <w:rsid w:val="00FF1B2B"/>
    <w:rsid w:val="00FF454A"/>
    <w:rsid w:val="00FF45A9"/>
    <w:rsid w:val="00FF6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95ED56"/>
  <w15:docId w15:val="{9A39A3A5-6247-48DB-9412-81EB162F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08"/>
    <w:pPr>
      <w:spacing w:line="276" w:lineRule="auto"/>
    </w:pPr>
    <w:rPr>
      <w:rFonts w:ascii="Arial" w:hAnsi="Arial"/>
      <w:szCs w:val="24"/>
    </w:rPr>
  </w:style>
  <w:style w:type="paragraph" w:styleId="Heading1">
    <w:name w:val="heading 1"/>
    <w:basedOn w:val="Normal"/>
    <w:next w:val="Normal"/>
    <w:qFormat/>
    <w:rsid w:val="00004EFC"/>
    <w:pPr>
      <w:keepNext/>
      <w:spacing w:after="100" w:afterAutospacing="1"/>
      <w:jc w:val="center"/>
      <w:outlineLvl w:val="0"/>
    </w:pPr>
    <w:rPr>
      <w:rFonts w:cs="Arial"/>
      <w:b/>
      <w:bCs/>
      <w:sz w:val="24"/>
    </w:rPr>
  </w:style>
  <w:style w:type="paragraph" w:styleId="Heading2">
    <w:name w:val="heading 2"/>
    <w:basedOn w:val="Normal"/>
    <w:next w:val="Normal"/>
    <w:link w:val="Heading2Char"/>
    <w:qFormat/>
    <w:rsid w:val="00004EFC"/>
    <w:pPr>
      <w:keepNext/>
      <w:pBdr>
        <w:top w:val="single" w:sz="18" w:space="1" w:color="DDDDDD"/>
      </w:pBdr>
      <w:shd w:val="clear" w:color="auto" w:fill="DDDDDD"/>
      <w:jc w:val="center"/>
      <w:outlineLvl w:val="1"/>
    </w:pPr>
    <w:rPr>
      <w:b/>
      <w:sz w:val="22"/>
    </w:rPr>
  </w:style>
  <w:style w:type="paragraph" w:styleId="Heading3">
    <w:name w:val="heading 3"/>
    <w:basedOn w:val="Normal"/>
    <w:next w:val="Normal"/>
    <w:link w:val="Heading3Char"/>
    <w:qFormat/>
    <w:rsid w:val="00004EFC"/>
    <w:pPr>
      <w:keepNext/>
      <w:outlineLvl w:val="2"/>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cs="Arial"/>
      <w:b/>
      <w:bCs/>
    </w:rPr>
  </w:style>
  <w:style w:type="paragraph" w:styleId="BodyText">
    <w:name w:val="Body Text"/>
    <w:basedOn w:val="Normal"/>
    <w:pPr>
      <w:spacing w:after="240"/>
    </w:pPr>
    <w:rPr>
      <w:rFonts w:cs="Arial"/>
    </w:rPr>
  </w:style>
  <w:style w:type="paragraph" w:styleId="BalloonText">
    <w:name w:val="Balloon Text"/>
    <w:basedOn w:val="Normal"/>
    <w:link w:val="BalloonTextChar"/>
    <w:rsid w:val="00BF070B"/>
    <w:rPr>
      <w:rFonts w:ascii="Tahoma" w:hAnsi="Tahoma" w:cs="Tahoma"/>
      <w:sz w:val="16"/>
      <w:szCs w:val="16"/>
    </w:rPr>
  </w:style>
  <w:style w:type="character" w:customStyle="1" w:styleId="BalloonTextChar">
    <w:name w:val="Balloon Text Char"/>
    <w:link w:val="BalloonText"/>
    <w:rsid w:val="00BF070B"/>
    <w:rPr>
      <w:rFonts w:ascii="Tahoma" w:hAnsi="Tahoma" w:cs="Tahoma"/>
      <w:sz w:val="16"/>
      <w:szCs w:val="16"/>
    </w:rPr>
  </w:style>
  <w:style w:type="character" w:customStyle="1" w:styleId="Heading2Char">
    <w:name w:val="Heading 2 Char"/>
    <w:basedOn w:val="DefaultParagraphFont"/>
    <w:link w:val="Heading2"/>
    <w:rsid w:val="00004EFC"/>
    <w:rPr>
      <w:rFonts w:ascii="Arial" w:hAnsi="Arial"/>
      <w:b/>
      <w:sz w:val="22"/>
      <w:szCs w:val="24"/>
      <w:shd w:val="clear" w:color="auto" w:fill="DDDDDD"/>
    </w:rPr>
  </w:style>
  <w:style w:type="paragraph" w:customStyle="1" w:styleId="Heading">
    <w:name w:val="Heading"/>
    <w:basedOn w:val="Normal"/>
    <w:qFormat/>
    <w:rsid w:val="000F1169"/>
    <w:pPr>
      <w:jc w:val="center"/>
    </w:pPr>
    <w:rPr>
      <w:b/>
    </w:rPr>
  </w:style>
  <w:style w:type="paragraph" w:styleId="ListParagraph">
    <w:name w:val="List Paragraph"/>
    <w:basedOn w:val="Normal"/>
    <w:uiPriority w:val="34"/>
    <w:qFormat/>
    <w:rsid w:val="00D7657D"/>
    <w:pPr>
      <w:ind w:left="720"/>
      <w:contextualSpacing/>
    </w:pPr>
  </w:style>
  <w:style w:type="paragraph" w:styleId="Revision">
    <w:name w:val="Revision"/>
    <w:hidden/>
    <w:uiPriority w:val="99"/>
    <w:semiHidden/>
    <w:rsid w:val="009E4282"/>
    <w:rPr>
      <w:rFonts w:ascii="Arial" w:hAnsi="Arial"/>
      <w:szCs w:val="24"/>
    </w:rPr>
  </w:style>
  <w:style w:type="character" w:customStyle="1" w:styleId="Heading3Char">
    <w:name w:val="Heading 3 Char"/>
    <w:basedOn w:val="DefaultParagraphFont"/>
    <w:link w:val="Heading3"/>
    <w:rsid w:val="00BF0865"/>
    <w:rPr>
      <w:rFonts w:ascii="Arial" w:hAnsi="Arial" w:cs="Arial"/>
      <w:b/>
      <w:bCs/>
      <w:szCs w:val="24"/>
    </w:rPr>
  </w:style>
  <w:style w:type="character" w:styleId="CommentReference">
    <w:name w:val="annotation reference"/>
    <w:basedOn w:val="DefaultParagraphFont"/>
    <w:semiHidden/>
    <w:unhideWhenUsed/>
    <w:rsid w:val="005121FE"/>
    <w:rPr>
      <w:sz w:val="16"/>
      <w:szCs w:val="16"/>
    </w:rPr>
  </w:style>
  <w:style w:type="paragraph" w:styleId="CommentText">
    <w:name w:val="annotation text"/>
    <w:basedOn w:val="Normal"/>
    <w:link w:val="CommentTextChar"/>
    <w:semiHidden/>
    <w:unhideWhenUsed/>
    <w:rsid w:val="005121FE"/>
    <w:pPr>
      <w:spacing w:line="240" w:lineRule="auto"/>
    </w:pPr>
    <w:rPr>
      <w:szCs w:val="20"/>
    </w:rPr>
  </w:style>
  <w:style w:type="character" w:customStyle="1" w:styleId="CommentTextChar">
    <w:name w:val="Comment Text Char"/>
    <w:basedOn w:val="DefaultParagraphFont"/>
    <w:link w:val="CommentText"/>
    <w:semiHidden/>
    <w:rsid w:val="005121FE"/>
    <w:rPr>
      <w:rFonts w:ascii="Arial" w:hAnsi="Arial"/>
    </w:rPr>
  </w:style>
  <w:style w:type="paragraph" w:styleId="CommentSubject">
    <w:name w:val="annotation subject"/>
    <w:basedOn w:val="CommentText"/>
    <w:next w:val="CommentText"/>
    <w:link w:val="CommentSubjectChar"/>
    <w:semiHidden/>
    <w:unhideWhenUsed/>
    <w:rsid w:val="005121FE"/>
    <w:rPr>
      <w:b/>
      <w:bCs/>
    </w:rPr>
  </w:style>
  <w:style w:type="character" w:customStyle="1" w:styleId="CommentSubjectChar">
    <w:name w:val="Comment Subject Char"/>
    <w:basedOn w:val="CommentTextChar"/>
    <w:link w:val="CommentSubject"/>
    <w:semiHidden/>
    <w:rsid w:val="005121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6640">
      <w:bodyDiv w:val="1"/>
      <w:marLeft w:val="0"/>
      <w:marRight w:val="0"/>
      <w:marTop w:val="0"/>
      <w:marBottom w:val="0"/>
      <w:divBdr>
        <w:top w:val="none" w:sz="0" w:space="0" w:color="auto"/>
        <w:left w:val="none" w:sz="0" w:space="0" w:color="auto"/>
        <w:bottom w:val="none" w:sz="0" w:space="0" w:color="auto"/>
        <w:right w:val="none" w:sz="0" w:space="0" w:color="auto"/>
      </w:divBdr>
    </w:div>
    <w:div w:id="330181694">
      <w:bodyDiv w:val="1"/>
      <w:marLeft w:val="0"/>
      <w:marRight w:val="0"/>
      <w:marTop w:val="0"/>
      <w:marBottom w:val="0"/>
      <w:divBdr>
        <w:top w:val="none" w:sz="0" w:space="0" w:color="auto"/>
        <w:left w:val="none" w:sz="0" w:space="0" w:color="auto"/>
        <w:bottom w:val="none" w:sz="0" w:space="0" w:color="auto"/>
        <w:right w:val="none" w:sz="0" w:space="0" w:color="auto"/>
      </w:divBdr>
    </w:div>
    <w:div w:id="332687582">
      <w:bodyDiv w:val="1"/>
      <w:marLeft w:val="0"/>
      <w:marRight w:val="0"/>
      <w:marTop w:val="0"/>
      <w:marBottom w:val="0"/>
      <w:divBdr>
        <w:top w:val="none" w:sz="0" w:space="0" w:color="auto"/>
        <w:left w:val="none" w:sz="0" w:space="0" w:color="auto"/>
        <w:bottom w:val="none" w:sz="0" w:space="0" w:color="auto"/>
        <w:right w:val="none" w:sz="0" w:space="0" w:color="auto"/>
      </w:divBdr>
    </w:div>
    <w:div w:id="389302782">
      <w:bodyDiv w:val="1"/>
      <w:marLeft w:val="0"/>
      <w:marRight w:val="0"/>
      <w:marTop w:val="0"/>
      <w:marBottom w:val="0"/>
      <w:divBdr>
        <w:top w:val="none" w:sz="0" w:space="0" w:color="auto"/>
        <w:left w:val="none" w:sz="0" w:space="0" w:color="auto"/>
        <w:bottom w:val="none" w:sz="0" w:space="0" w:color="auto"/>
        <w:right w:val="none" w:sz="0" w:space="0" w:color="auto"/>
      </w:divBdr>
    </w:div>
    <w:div w:id="567497147">
      <w:bodyDiv w:val="1"/>
      <w:marLeft w:val="0"/>
      <w:marRight w:val="0"/>
      <w:marTop w:val="0"/>
      <w:marBottom w:val="0"/>
      <w:divBdr>
        <w:top w:val="none" w:sz="0" w:space="0" w:color="auto"/>
        <w:left w:val="none" w:sz="0" w:space="0" w:color="auto"/>
        <w:bottom w:val="none" w:sz="0" w:space="0" w:color="auto"/>
        <w:right w:val="none" w:sz="0" w:space="0" w:color="auto"/>
      </w:divBdr>
    </w:div>
    <w:div w:id="630667750">
      <w:bodyDiv w:val="1"/>
      <w:marLeft w:val="0"/>
      <w:marRight w:val="0"/>
      <w:marTop w:val="0"/>
      <w:marBottom w:val="0"/>
      <w:divBdr>
        <w:top w:val="none" w:sz="0" w:space="0" w:color="auto"/>
        <w:left w:val="none" w:sz="0" w:space="0" w:color="auto"/>
        <w:bottom w:val="none" w:sz="0" w:space="0" w:color="auto"/>
        <w:right w:val="none" w:sz="0" w:space="0" w:color="auto"/>
      </w:divBdr>
    </w:div>
    <w:div w:id="904341855">
      <w:bodyDiv w:val="1"/>
      <w:marLeft w:val="0"/>
      <w:marRight w:val="0"/>
      <w:marTop w:val="0"/>
      <w:marBottom w:val="0"/>
      <w:divBdr>
        <w:top w:val="none" w:sz="0" w:space="0" w:color="auto"/>
        <w:left w:val="none" w:sz="0" w:space="0" w:color="auto"/>
        <w:bottom w:val="none" w:sz="0" w:space="0" w:color="auto"/>
        <w:right w:val="none" w:sz="0" w:space="0" w:color="auto"/>
      </w:divBdr>
    </w:div>
    <w:div w:id="960382560">
      <w:bodyDiv w:val="1"/>
      <w:marLeft w:val="0"/>
      <w:marRight w:val="0"/>
      <w:marTop w:val="0"/>
      <w:marBottom w:val="0"/>
      <w:divBdr>
        <w:top w:val="none" w:sz="0" w:space="0" w:color="auto"/>
        <w:left w:val="none" w:sz="0" w:space="0" w:color="auto"/>
        <w:bottom w:val="none" w:sz="0" w:space="0" w:color="auto"/>
        <w:right w:val="none" w:sz="0" w:space="0" w:color="auto"/>
      </w:divBdr>
    </w:div>
    <w:div w:id="980815638">
      <w:bodyDiv w:val="1"/>
      <w:marLeft w:val="0"/>
      <w:marRight w:val="0"/>
      <w:marTop w:val="0"/>
      <w:marBottom w:val="0"/>
      <w:divBdr>
        <w:top w:val="none" w:sz="0" w:space="0" w:color="auto"/>
        <w:left w:val="none" w:sz="0" w:space="0" w:color="auto"/>
        <w:bottom w:val="none" w:sz="0" w:space="0" w:color="auto"/>
        <w:right w:val="none" w:sz="0" w:space="0" w:color="auto"/>
      </w:divBdr>
    </w:div>
    <w:div w:id="1201241765">
      <w:bodyDiv w:val="1"/>
      <w:marLeft w:val="0"/>
      <w:marRight w:val="0"/>
      <w:marTop w:val="0"/>
      <w:marBottom w:val="0"/>
      <w:divBdr>
        <w:top w:val="none" w:sz="0" w:space="0" w:color="auto"/>
        <w:left w:val="none" w:sz="0" w:space="0" w:color="auto"/>
        <w:bottom w:val="none" w:sz="0" w:space="0" w:color="auto"/>
        <w:right w:val="none" w:sz="0" w:space="0" w:color="auto"/>
      </w:divBdr>
    </w:div>
    <w:div w:id="1240752994">
      <w:bodyDiv w:val="1"/>
      <w:marLeft w:val="0"/>
      <w:marRight w:val="0"/>
      <w:marTop w:val="0"/>
      <w:marBottom w:val="0"/>
      <w:divBdr>
        <w:top w:val="none" w:sz="0" w:space="0" w:color="auto"/>
        <w:left w:val="none" w:sz="0" w:space="0" w:color="auto"/>
        <w:bottom w:val="none" w:sz="0" w:space="0" w:color="auto"/>
        <w:right w:val="none" w:sz="0" w:space="0" w:color="auto"/>
      </w:divBdr>
    </w:div>
    <w:div w:id="1452554812">
      <w:bodyDiv w:val="1"/>
      <w:marLeft w:val="0"/>
      <w:marRight w:val="0"/>
      <w:marTop w:val="0"/>
      <w:marBottom w:val="0"/>
      <w:divBdr>
        <w:top w:val="none" w:sz="0" w:space="0" w:color="auto"/>
        <w:left w:val="none" w:sz="0" w:space="0" w:color="auto"/>
        <w:bottom w:val="none" w:sz="0" w:space="0" w:color="auto"/>
        <w:right w:val="none" w:sz="0" w:space="0" w:color="auto"/>
      </w:divBdr>
    </w:div>
    <w:div w:id="2017537489">
      <w:bodyDiv w:val="1"/>
      <w:marLeft w:val="0"/>
      <w:marRight w:val="0"/>
      <w:marTop w:val="0"/>
      <w:marBottom w:val="0"/>
      <w:divBdr>
        <w:top w:val="none" w:sz="0" w:space="0" w:color="auto"/>
        <w:left w:val="none" w:sz="0" w:space="0" w:color="auto"/>
        <w:bottom w:val="none" w:sz="0" w:space="0" w:color="auto"/>
        <w:right w:val="none" w:sz="0" w:space="0" w:color="auto"/>
      </w:divBdr>
    </w:div>
    <w:div w:id="210386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E7F61-01D0-462C-8AA7-5A888E87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1231</Words>
  <Characters>7021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Record of Specification Revisions</vt:lpstr>
    </vt:vector>
  </TitlesOfParts>
  <Company>Federal Highway Administration</Company>
  <LinksUpToDate>false</LinksUpToDate>
  <CharactersWithSpaces>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Specification Revisions</dc:title>
  <dc:creator>johnsonw</dc:creator>
  <cp:lastModifiedBy>Mariman, David (FHWA)</cp:lastModifiedBy>
  <cp:revision>7</cp:revision>
  <cp:lastPrinted>2024-06-17T20:43:00Z</cp:lastPrinted>
  <dcterms:created xsi:type="dcterms:W3CDTF">2025-03-26T18:48:00Z</dcterms:created>
  <dcterms:modified xsi:type="dcterms:W3CDTF">2025-04-01T15:22:00Z</dcterms:modified>
</cp:coreProperties>
</file>