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6A02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E95059">
        <w:t>6</w:t>
      </w:r>
      <w:r w:rsidR="007E4E2A">
        <w:t>17</w:t>
      </w:r>
      <w:r>
        <w:t xml:space="preserve">. — </w:t>
      </w:r>
      <w:r w:rsidR="007E4E2A">
        <w:rPr>
          <w:rStyle w:val="SectionName"/>
        </w:rPr>
        <w:t>G</w:t>
      </w:r>
      <w:r w:rsidR="006346D4">
        <w:rPr>
          <w:rStyle w:val="SectionName"/>
        </w:rPr>
        <w:t>UARDRAIL</w:t>
      </w:r>
    </w:p>
    <w:p w14:paraId="7AF6A268" w14:textId="0FD98F34" w:rsidR="00A61D51" w:rsidRDefault="00A61D51" w:rsidP="00A61D51">
      <w:pPr>
        <w:pStyle w:val="Revisiondate"/>
      </w:pPr>
      <w:r>
        <w:t xml:space="preserve">01 </w:t>
      </w:r>
      <w:r w:rsidR="00AC1CAC">
        <w:t xml:space="preserve">APR </w:t>
      </w:r>
      <w:r>
        <w:t>2024 – FP-24</w:t>
      </w:r>
    </w:p>
    <w:p w14:paraId="231A7C5C" w14:textId="6DC598ED" w:rsidR="00AC1CAC" w:rsidRPr="006F6B53" w:rsidRDefault="00AC1CAC" w:rsidP="00AC1CAC">
      <w:pPr>
        <w:pStyle w:val="Directions"/>
        <w:rPr>
          <w:rStyle w:val="DirectionsInfo"/>
        </w:rPr>
      </w:pPr>
      <w:r w:rsidRPr="006F6B53">
        <w:rPr>
          <w:rStyle w:val="DirectionsInfo"/>
        </w:rPr>
        <w:t>WF</w:t>
      </w:r>
      <w:r>
        <w:rPr>
          <w:rStyle w:val="DirectionsInfo"/>
        </w:rPr>
        <w:t>L Specification 01 APR 2024</w:t>
      </w:r>
      <w:r>
        <w:rPr>
          <w:rStyle w:val="DirectionsInfo"/>
        </w:rPr>
        <w:tab/>
        <w:t>617010</w:t>
      </w:r>
    </w:p>
    <w:p w14:paraId="4A218800" w14:textId="75D16820" w:rsidR="00AC1CAC" w:rsidRDefault="00AC1CAC" w:rsidP="00AC1CAC">
      <w:pPr>
        <w:pStyle w:val="Directions"/>
      </w:pPr>
      <w:r>
        <w:t xml:space="preserve">Include the following </w:t>
      </w:r>
      <w:r w:rsidR="007979C2">
        <w:t>when adding SCRs to</w:t>
      </w:r>
      <w:r>
        <w:t xml:space="preserve"> this S</w:t>
      </w:r>
      <w:r w:rsidR="007979C2">
        <w:t>ubs</w:t>
      </w:r>
      <w:r>
        <w:t>ection.</w:t>
      </w:r>
    </w:p>
    <w:bookmarkEnd w:id="0"/>
    <w:p w14:paraId="3DB4E685" w14:textId="65ED79A1" w:rsidR="00A31ECA" w:rsidRPr="00A31ECA" w:rsidRDefault="00C569D3" w:rsidP="00A31ECA">
      <w:pPr>
        <w:pStyle w:val="Subtitle"/>
        <w:keepNext w:val="0"/>
      </w:pPr>
      <w:r>
        <w:t>Construction Requirements</w:t>
      </w:r>
    </w:p>
    <w:p w14:paraId="4E067D34" w14:textId="3FF8C079" w:rsidR="0028222F" w:rsidRPr="00EB5186" w:rsidRDefault="0028222F" w:rsidP="00F359F7">
      <w:pPr>
        <w:pStyle w:val="Heading3"/>
        <w:rPr>
          <w:rFonts w:eastAsia="MS Mincho"/>
        </w:rPr>
      </w:pPr>
      <w:r w:rsidRPr="003C1216">
        <w:t>617.0</w:t>
      </w:r>
      <w:r>
        <w:t>4</w:t>
      </w:r>
      <w:r w:rsidRPr="003C1216">
        <w:t xml:space="preserve"> General.</w:t>
      </w:r>
    </w:p>
    <w:p w14:paraId="68E7CEBF" w14:textId="376A3225" w:rsidR="00A31ECA" w:rsidRPr="00C569D3" w:rsidRDefault="00A31ECA" w:rsidP="00A31ECA">
      <w:pPr>
        <w:pStyle w:val="Directions"/>
        <w:rPr>
          <w:rStyle w:val="DirectionsInfo"/>
        </w:rPr>
      </w:pPr>
      <w:r w:rsidRPr="00C569D3">
        <w:rPr>
          <w:rStyle w:val="DirectionsInfo"/>
        </w:rPr>
        <w:t>WFL Specification</w:t>
      </w:r>
      <w:r>
        <w:rPr>
          <w:rStyle w:val="DirectionsInfo"/>
        </w:rPr>
        <w:t xml:space="preserve"> 01 APR 2024</w:t>
      </w:r>
      <w:r>
        <w:rPr>
          <w:rStyle w:val="DirectionsInfo"/>
        </w:rPr>
        <w:tab/>
        <w:t>61700</w:t>
      </w:r>
      <w:r w:rsidR="00050876">
        <w:rPr>
          <w:rStyle w:val="DirectionsInfo"/>
        </w:rPr>
        <w:t>2</w:t>
      </w:r>
      <w:r>
        <w:rPr>
          <w:rStyle w:val="DirectionsInfo"/>
        </w:rPr>
        <w:t>0</w:t>
      </w:r>
    </w:p>
    <w:p w14:paraId="1FF36A94" w14:textId="77777777" w:rsidR="00A31ECA" w:rsidRDefault="00A31ECA" w:rsidP="00A31ECA">
      <w:pPr>
        <w:pStyle w:val="Directions"/>
      </w:pPr>
      <w:r>
        <w:t>Include the following when using guardrail terminal systems.  Consult with Safety for fill-ins.</w:t>
      </w:r>
    </w:p>
    <w:p w14:paraId="584C6689" w14:textId="77777777" w:rsidR="00A31ECA" w:rsidRDefault="00A31ECA" w:rsidP="00A31ECA">
      <w:pPr>
        <w:pStyle w:val="Directions"/>
      </w:pPr>
      <w:r>
        <w:t>Note: Duplicate as needed for projects with multiple requirements.</w:t>
      </w:r>
    </w:p>
    <w:p w14:paraId="06068D82" w14:textId="77777777" w:rsidR="00A31ECA" w:rsidRPr="00EB5186" w:rsidRDefault="00A31ECA" w:rsidP="00A31ECA">
      <w:pPr>
        <w:pStyle w:val="Instructions"/>
        <w:rPr>
          <w:rFonts w:eastAsia="MS Mincho"/>
        </w:rPr>
      </w:pPr>
      <w:r w:rsidRPr="00EB5186">
        <w:rPr>
          <w:rFonts w:eastAsia="MS Mincho"/>
        </w:rPr>
        <w:t>Add the following:</w:t>
      </w:r>
    </w:p>
    <w:p w14:paraId="446F71BE" w14:textId="77777777" w:rsidR="00A31ECA" w:rsidRPr="006E13E4" w:rsidRDefault="00A31ECA" w:rsidP="00A31ECA">
      <w:pPr>
        <w:pStyle w:val="BodyText"/>
      </w:pPr>
      <w:r>
        <w:t>Use [</w:t>
      </w:r>
      <w:r w:rsidRPr="00F359F7">
        <w:rPr>
          <w:highlight w:val="yellow"/>
        </w:rPr>
        <w:t>INSERT flared or tangent</w:t>
      </w:r>
      <w:r>
        <w:t>] terminals meeting [</w:t>
      </w:r>
      <w:r w:rsidRPr="00F359F7">
        <w:rPr>
          <w:highlight w:val="yellow"/>
        </w:rPr>
        <w:t>INSERT MASH or NCHRP 350</w:t>
      </w:r>
      <w:r>
        <w:t>] Test Level [</w:t>
      </w:r>
      <w:r w:rsidRPr="00F359F7">
        <w:rPr>
          <w:highlight w:val="yellow"/>
        </w:rPr>
        <w:t>INSERT TEST LEVEL</w:t>
      </w:r>
      <w:r>
        <w:t>].</w:t>
      </w:r>
    </w:p>
    <w:p w14:paraId="026B64BD" w14:textId="08030260" w:rsidR="00A31ECA" w:rsidRPr="00C569D3" w:rsidRDefault="00A31ECA" w:rsidP="00A31ECA">
      <w:pPr>
        <w:pStyle w:val="Directions"/>
        <w:rPr>
          <w:rStyle w:val="DirectionsInfo"/>
        </w:rPr>
      </w:pPr>
      <w:r w:rsidRPr="00C569D3">
        <w:rPr>
          <w:rStyle w:val="DirectionsInfo"/>
        </w:rPr>
        <w:t>WFL Specification</w:t>
      </w:r>
      <w:r>
        <w:rPr>
          <w:rStyle w:val="DirectionsInfo"/>
        </w:rPr>
        <w:t xml:space="preserve"> 01 APR 2024</w:t>
      </w:r>
      <w:r>
        <w:rPr>
          <w:rStyle w:val="DirectionsInfo"/>
        </w:rPr>
        <w:tab/>
        <w:t>61700</w:t>
      </w:r>
      <w:r w:rsidR="00050876">
        <w:rPr>
          <w:rStyle w:val="DirectionsInfo"/>
        </w:rPr>
        <w:t>3</w:t>
      </w:r>
      <w:r>
        <w:rPr>
          <w:rStyle w:val="DirectionsInfo"/>
        </w:rPr>
        <w:t>0</w:t>
      </w:r>
    </w:p>
    <w:p w14:paraId="6D044A8C" w14:textId="77777777" w:rsidR="00A31ECA" w:rsidRDefault="00A31ECA" w:rsidP="00A31ECA">
      <w:pPr>
        <w:pStyle w:val="Directions"/>
      </w:pPr>
      <w:r>
        <w:t>Include the following when using crash cushions.  Consult with Safety for fill-ins.</w:t>
      </w:r>
    </w:p>
    <w:p w14:paraId="58ACDD4A" w14:textId="77777777" w:rsidR="00A31ECA" w:rsidRPr="00EB5186" w:rsidRDefault="00A31ECA" w:rsidP="00A31ECA">
      <w:pPr>
        <w:pStyle w:val="Instructions"/>
        <w:rPr>
          <w:rFonts w:eastAsia="MS Mincho"/>
        </w:rPr>
      </w:pPr>
      <w:r w:rsidRPr="00EB5186">
        <w:rPr>
          <w:rFonts w:eastAsia="MS Mincho"/>
        </w:rPr>
        <w:t>Add the following:</w:t>
      </w:r>
    </w:p>
    <w:p w14:paraId="7AB2372C" w14:textId="77777777" w:rsidR="00A31ECA" w:rsidRPr="006E13E4" w:rsidRDefault="00A31ECA" w:rsidP="00A31ECA">
      <w:pPr>
        <w:pStyle w:val="BodyText"/>
      </w:pPr>
      <w:r>
        <w:t>Use crash cushions meeting [</w:t>
      </w:r>
      <w:r w:rsidRPr="00FD5F74">
        <w:rPr>
          <w:highlight w:val="yellow"/>
        </w:rPr>
        <w:t>INSERT MASH or NCHRP 350</w:t>
      </w:r>
      <w:r>
        <w:t>] Test Level [</w:t>
      </w:r>
      <w:r w:rsidRPr="00FD5F74">
        <w:rPr>
          <w:highlight w:val="yellow"/>
        </w:rPr>
        <w:t>INSERT TEST LEVEL</w:t>
      </w:r>
      <w:r>
        <w:t>].</w:t>
      </w:r>
    </w:p>
    <w:p w14:paraId="57F16A0B" w14:textId="67D90674" w:rsidR="006E13E4" w:rsidRPr="00C569D3" w:rsidRDefault="006E13E4" w:rsidP="006E13E4">
      <w:pPr>
        <w:pStyle w:val="Directions"/>
        <w:rPr>
          <w:rStyle w:val="DirectionsInfo"/>
        </w:rPr>
      </w:pPr>
      <w:r w:rsidRPr="00C569D3">
        <w:rPr>
          <w:rStyle w:val="DirectionsInfo"/>
        </w:rPr>
        <w:t>WFL Specification</w:t>
      </w:r>
      <w:r w:rsidR="003F68C7">
        <w:rPr>
          <w:rStyle w:val="DirectionsInfo"/>
        </w:rPr>
        <w:t xml:space="preserve"> 01 </w:t>
      </w:r>
      <w:r w:rsidR="00F359F7">
        <w:rPr>
          <w:rStyle w:val="DirectionsInfo"/>
        </w:rPr>
        <w:t xml:space="preserve">APR </w:t>
      </w:r>
      <w:r w:rsidR="003F68C7">
        <w:rPr>
          <w:rStyle w:val="DirectionsInfo"/>
        </w:rPr>
        <w:t>2024</w:t>
      </w:r>
      <w:r>
        <w:rPr>
          <w:rStyle w:val="DirectionsInfo"/>
        </w:rPr>
        <w:tab/>
      </w:r>
      <w:r w:rsidR="00AC1CAC">
        <w:rPr>
          <w:rStyle w:val="DirectionsInfo"/>
        </w:rPr>
        <w:t>61700</w:t>
      </w:r>
      <w:r w:rsidR="00050876">
        <w:rPr>
          <w:rStyle w:val="DirectionsInfo"/>
        </w:rPr>
        <w:t>4</w:t>
      </w:r>
      <w:r w:rsidR="00AC1CAC">
        <w:rPr>
          <w:rStyle w:val="DirectionsInfo"/>
        </w:rPr>
        <w:t>0</w:t>
      </w:r>
    </w:p>
    <w:p w14:paraId="57F16A0C" w14:textId="77777777" w:rsidR="006E13E4" w:rsidRDefault="006E13E4" w:rsidP="006E13E4">
      <w:pPr>
        <w:pStyle w:val="Directions"/>
      </w:pPr>
      <w:r>
        <w:t>Include the following when weathering agent is required on galvanized steel guardrail components.</w:t>
      </w:r>
    </w:p>
    <w:p w14:paraId="57F16A0E" w14:textId="77777777" w:rsidR="006E13E4" w:rsidRPr="00EB5186" w:rsidRDefault="006E13E4" w:rsidP="006E13E4">
      <w:pPr>
        <w:pStyle w:val="Instructions"/>
        <w:rPr>
          <w:rFonts w:eastAsia="MS Mincho"/>
        </w:rPr>
      </w:pPr>
      <w:r w:rsidRPr="00EB5186">
        <w:rPr>
          <w:rFonts w:eastAsia="MS Mincho"/>
        </w:rPr>
        <w:t>Add the following:</w:t>
      </w:r>
    </w:p>
    <w:p w14:paraId="57F16A0F" w14:textId="6E529551" w:rsidR="006E13E4" w:rsidRDefault="006E13E4" w:rsidP="00E933AC">
      <w:pPr>
        <w:pStyle w:val="BodyText"/>
      </w:pPr>
      <w:r>
        <w:t xml:space="preserve">Apply weathering agent to all galvanized steel </w:t>
      </w:r>
      <w:r w:rsidRPr="00C641CF">
        <w:t xml:space="preserve">guardrail system and terminal </w:t>
      </w:r>
      <w:r w:rsidR="00067A62">
        <w:t>system</w:t>
      </w:r>
      <w:r>
        <w:t xml:space="preserve"> components according to Section 563</w:t>
      </w:r>
      <w:r w:rsidRPr="00C641CF">
        <w:t>.</w:t>
      </w:r>
    </w:p>
    <w:p w14:paraId="57F16A10" w14:textId="2843262B" w:rsidR="00C569D3" w:rsidRPr="00C569D3" w:rsidRDefault="00C569D3" w:rsidP="00DE1123">
      <w:pPr>
        <w:pStyle w:val="Directions"/>
        <w:rPr>
          <w:rStyle w:val="DirectionsInfo"/>
        </w:rPr>
      </w:pPr>
      <w:r w:rsidRPr="00C569D3">
        <w:rPr>
          <w:rStyle w:val="DirectionsInfo"/>
        </w:rPr>
        <w:lastRenderedPageBreak/>
        <w:t xml:space="preserve">WFL Specification </w:t>
      </w:r>
      <w:r w:rsidR="003F68C7">
        <w:rPr>
          <w:rStyle w:val="DirectionsInfo"/>
        </w:rPr>
        <w:t xml:space="preserve">01 </w:t>
      </w:r>
      <w:r w:rsidR="00F359F7">
        <w:rPr>
          <w:rStyle w:val="DirectionsInfo"/>
        </w:rPr>
        <w:t xml:space="preserve">APR </w:t>
      </w:r>
      <w:r w:rsidR="003F68C7">
        <w:rPr>
          <w:rStyle w:val="DirectionsInfo"/>
        </w:rPr>
        <w:t>2024</w:t>
      </w:r>
      <w:r w:rsidR="000C42B0">
        <w:rPr>
          <w:rStyle w:val="DirectionsInfo"/>
        </w:rPr>
        <w:tab/>
      </w:r>
      <w:r w:rsidR="00AC1CAC">
        <w:rPr>
          <w:rStyle w:val="DirectionsInfo"/>
        </w:rPr>
        <w:t>6170050</w:t>
      </w:r>
    </w:p>
    <w:p w14:paraId="57F16A11" w14:textId="77777777" w:rsidR="007E4E2A" w:rsidRDefault="007E4E2A" w:rsidP="00DE1123">
      <w:pPr>
        <w:pStyle w:val="Directions"/>
      </w:pPr>
      <w:r>
        <w:t>Include the following when alternate hole arrangements are required.</w:t>
      </w:r>
    </w:p>
    <w:p w14:paraId="57F16A12" w14:textId="77777777" w:rsidR="00C569D3" w:rsidRDefault="007E4E2A" w:rsidP="00DE1123">
      <w:pPr>
        <w:pStyle w:val="Directions"/>
      </w:pPr>
      <w:r>
        <w:t>Note: Use for future pavement overlays. Insert 617-10 for wood posts and 617-11 for steel posts.</w:t>
      </w:r>
    </w:p>
    <w:p w14:paraId="57F16A13" w14:textId="0E78FF5A" w:rsidR="00C569D3" w:rsidRPr="00C569D3" w:rsidRDefault="007E4E2A" w:rsidP="00DE1123">
      <w:pPr>
        <w:pStyle w:val="Heading3"/>
        <w:keepNext w:val="0"/>
        <w:jc w:val="both"/>
        <w:rPr>
          <w:vanish/>
          <w:specVanish/>
        </w:rPr>
      </w:pPr>
      <w:r w:rsidRPr="007E4E2A">
        <w:t>617.</w:t>
      </w:r>
      <w:r w:rsidR="00036A08" w:rsidRPr="007E4E2A">
        <w:t>0</w:t>
      </w:r>
      <w:r w:rsidR="00036A08">
        <w:t>5</w:t>
      </w:r>
      <w:r w:rsidR="00036A08" w:rsidRPr="007E4E2A">
        <w:t xml:space="preserve"> </w:t>
      </w:r>
      <w:r w:rsidRPr="007E4E2A">
        <w:t>Post Installation</w:t>
      </w:r>
      <w:r w:rsidR="00C569D3">
        <w:t xml:space="preserve">. </w:t>
      </w:r>
    </w:p>
    <w:p w14:paraId="57F16A14" w14:textId="2AB5F372" w:rsidR="00C569D3" w:rsidRDefault="007E4E2A" w:rsidP="00DE1123">
      <w:pPr>
        <w:pStyle w:val="Instructions"/>
        <w:keepNext w:val="0"/>
      </w:pPr>
      <w:r w:rsidRPr="007E4E2A">
        <w:t>Add the following</w:t>
      </w:r>
      <w:r w:rsidR="00C555AB">
        <w:t xml:space="preserve"> after the fifth paragraph</w:t>
      </w:r>
      <w:r w:rsidR="00C569D3" w:rsidRPr="006346D4">
        <w:rPr>
          <w:u w:val="none"/>
        </w:rPr>
        <w:t>:</w:t>
      </w:r>
    </w:p>
    <w:p w14:paraId="57F16A15" w14:textId="77777777" w:rsidR="00103189" w:rsidRDefault="007E4E2A" w:rsidP="00DE1123">
      <w:pPr>
        <w:pStyle w:val="BodyText"/>
      </w:pPr>
      <w:r>
        <w:t>Use alternate hole arrangement detail as shown on Standard 617</w:t>
      </w:r>
      <w:proofErr w:type="gramStart"/>
      <w:r>
        <w:t>-[</w:t>
      </w:r>
      <w:proofErr w:type="gramEnd"/>
      <w:r w:rsidRPr="00A61D51">
        <w:rPr>
          <w:highlight w:val="yellow"/>
        </w:rPr>
        <w:t>INSERT #</w:t>
      </w:r>
      <w:r>
        <w:t>].</w:t>
      </w:r>
    </w:p>
    <w:p w14:paraId="57F16A16" w14:textId="51DC7E66" w:rsidR="006E13E4" w:rsidRPr="00C569D3" w:rsidRDefault="006E13E4" w:rsidP="006E13E4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3F68C7">
        <w:rPr>
          <w:rStyle w:val="DirectionsInfo"/>
        </w:rPr>
        <w:t xml:space="preserve">01 </w:t>
      </w:r>
      <w:r w:rsidR="00F359F7">
        <w:rPr>
          <w:rStyle w:val="DirectionsInfo"/>
        </w:rPr>
        <w:t xml:space="preserve">APR </w:t>
      </w:r>
      <w:r w:rsidR="003F68C7">
        <w:rPr>
          <w:rStyle w:val="DirectionsInfo"/>
        </w:rPr>
        <w:t>2024</w:t>
      </w:r>
      <w:r>
        <w:rPr>
          <w:rStyle w:val="DirectionsInfo"/>
        </w:rPr>
        <w:tab/>
      </w:r>
      <w:r w:rsidR="00AC1CAC">
        <w:rPr>
          <w:rStyle w:val="DirectionsInfo"/>
        </w:rPr>
        <w:t>617060</w:t>
      </w:r>
    </w:p>
    <w:p w14:paraId="57F16A17" w14:textId="77777777" w:rsidR="006E13E4" w:rsidRDefault="006E13E4" w:rsidP="006E13E4">
      <w:pPr>
        <w:pStyle w:val="Directions"/>
      </w:pPr>
      <w:r>
        <w:t>Include the following when weathering agent is required on galvanized steel guardrail components.</w:t>
      </w:r>
    </w:p>
    <w:p w14:paraId="57F16A18" w14:textId="6781A5B5" w:rsidR="006E13E4" w:rsidRPr="00EB5186" w:rsidRDefault="006E13E4" w:rsidP="006E13E4">
      <w:pPr>
        <w:pStyle w:val="Heading3"/>
        <w:rPr>
          <w:rFonts w:eastAsia="MS Mincho"/>
          <w:vanish/>
          <w:specVanish/>
        </w:rPr>
      </w:pPr>
      <w:r w:rsidRPr="003C1216">
        <w:rPr>
          <w:rFonts w:eastAsia="MS Mincho"/>
        </w:rPr>
        <w:t xml:space="preserve">617.11 Acceptance. </w:t>
      </w:r>
    </w:p>
    <w:p w14:paraId="57F16A19" w14:textId="77777777" w:rsidR="006E13E4" w:rsidRPr="00EB5186" w:rsidRDefault="006E13E4" w:rsidP="006E13E4">
      <w:pPr>
        <w:pStyle w:val="Instructions"/>
        <w:rPr>
          <w:rFonts w:eastAsia="MS Mincho"/>
        </w:rPr>
      </w:pPr>
      <w:r w:rsidRPr="00EB5186">
        <w:rPr>
          <w:rFonts w:eastAsia="MS Mincho"/>
        </w:rPr>
        <w:t>Add the following:</w:t>
      </w:r>
    </w:p>
    <w:p w14:paraId="57F16A1A" w14:textId="0F874AF0" w:rsidR="006E13E4" w:rsidRDefault="008C51CA" w:rsidP="006E13E4">
      <w:pPr>
        <w:pStyle w:val="BodyText"/>
      </w:pPr>
      <w:r>
        <w:rPr>
          <w:rFonts w:eastAsia="MS Mincho"/>
        </w:rPr>
        <w:t>Coating</w:t>
      </w:r>
      <w:r w:rsidRPr="00EB5748">
        <w:rPr>
          <w:rFonts w:eastAsia="MS Mincho"/>
        </w:rPr>
        <w:t xml:space="preserve"> </w:t>
      </w:r>
      <w:r w:rsidR="006E13E4" w:rsidRPr="00EB5748">
        <w:rPr>
          <w:rFonts w:eastAsia="MS Mincho"/>
        </w:rPr>
        <w:t>will be evaluated under Section 563.</w:t>
      </w:r>
    </w:p>
    <w:sectPr w:rsidR="006E13E4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2DB1" w14:textId="77777777" w:rsidR="00B20FD6" w:rsidRDefault="00B20FD6" w:rsidP="001A6D08">
      <w:r>
        <w:separator/>
      </w:r>
    </w:p>
  </w:endnote>
  <w:endnote w:type="continuationSeparator" w:id="0">
    <w:p w14:paraId="307CFBA2" w14:textId="77777777" w:rsidR="00B20FD6" w:rsidRDefault="00B20FD6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A21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A22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A24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91E2" w14:textId="77777777" w:rsidR="00B20FD6" w:rsidRDefault="00B20FD6" w:rsidP="001A6D08">
      <w:r>
        <w:separator/>
      </w:r>
    </w:p>
  </w:footnote>
  <w:footnote w:type="continuationSeparator" w:id="0">
    <w:p w14:paraId="25C136C1" w14:textId="77777777" w:rsidR="00B20FD6" w:rsidRDefault="00B20FD6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A1F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A20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A23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105540">
    <w:abstractNumId w:val="12"/>
  </w:num>
  <w:num w:numId="2" w16cid:durableId="201403776">
    <w:abstractNumId w:val="9"/>
  </w:num>
  <w:num w:numId="3" w16cid:durableId="1478648570">
    <w:abstractNumId w:val="9"/>
  </w:num>
  <w:num w:numId="4" w16cid:durableId="698941677">
    <w:abstractNumId w:val="7"/>
  </w:num>
  <w:num w:numId="5" w16cid:durableId="1851488204">
    <w:abstractNumId w:val="14"/>
  </w:num>
  <w:num w:numId="6" w16cid:durableId="1557744073">
    <w:abstractNumId w:val="9"/>
  </w:num>
  <w:num w:numId="7" w16cid:durableId="1300497240">
    <w:abstractNumId w:val="10"/>
  </w:num>
  <w:num w:numId="8" w16cid:durableId="79066631">
    <w:abstractNumId w:val="13"/>
  </w:num>
  <w:num w:numId="9" w16cid:durableId="1260330589">
    <w:abstractNumId w:val="6"/>
  </w:num>
  <w:num w:numId="10" w16cid:durableId="1570651421">
    <w:abstractNumId w:val="5"/>
  </w:num>
  <w:num w:numId="11" w16cid:durableId="785463906">
    <w:abstractNumId w:val="4"/>
  </w:num>
  <w:num w:numId="12" w16cid:durableId="1942449146">
    <w:abstractNumId w:val="8"/>
  </w:num>
  <w:num w:numId="13" w16cid:durableId="122043885">
    <w:abstractNumId w:val="3"/>
  </w:num>
  <w:num w:numId="14" w16cid:durableId="44989257">
    <w:abstractNumId w:val="2"/>
  </w:num>
  <w:num w:numId="15" w16cid:durableId="1604150044">
    <w:abstractNumId w:val="1"/>
  </w:num>
  <w:num w:numId="16" w16cid:durableId="1474831159">
    <w:abstractNumId w:val="0"/>
  </w:num>
  <w:num w:numId="17" w16cid:durableId="1409304302">
    <w:abstractNumId w:val="15"/>
  </w:num>
  <w:num w:numId="18" w16cid:durableId="1108161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2662B"/>
    <w:rsid w:val="00032196"/>
    <w:rsid w:val="00032BE8"/>
    <w:rsid w:val="00036A08"/>
    <w:rsid w:val="00040FA6"/>
    <w:rsid w:val="00050876"/>
    <w:rsid w:val="0005649F"/>
    <w:rsid w:val="00061B9B"/>
    <w:rsid w:val="00067A62"/>
    <w:rsid w:val="00083A45"/>
    <w:rsid w:val="00085B1C"/>
    <w:rsid w:val="00097855"/>
    <w:rsid w:val="000A47D0"/>
    <w:rsid w:val="000C42B0"/>
    <w:rsid w:val="000F06EE"/>
    <w:rsid w:val="000F7515"/>
    <w:rsid w:val="00103189"/>
    <w:rsid w:val="00117419"/>
    <w:rsid w:val="00120758"/>
    <w:rsid w:val="00125CF9"/>
    <w:rsid w:val="00156302"/>
    <w:rsid w:val="0016766D"/>
    <w:rsid w:val="00192CD1"/>
    <w:rsid w:val="001961FB"/>
    <w:rsid w:val="001A6D08"/>
    <w:rsid w:val="001A735B"/>
    <w:rsid w:val="001B4607"/>
    <w:rsid w:val="001D5FC1"/>
    <w:rsid w:val="001D6B21"/>
    <w:rsid w:val="00215F64"/>
    <w:rsid w:val="00240B20"/>
    <w:rsid w:val="00251706"/>
    <w:rsid w:val="0028222F"/>
    <w:rsid w:val="002A05A8"/>
    <w:rsid w:val="002C2213"/>
    <w:rsid w:val="002D6287"/>
    <w:rsid w:val="002E2083"/>
    <w:rsid w:val="002F0C3F"/>
    <w:rsid w:val="002F4971"/>
    <w:rsid w:val="00303096"/>
    <w:rsid w:val="00334686"/>
    <w:rsid w:val="0033507C"/>
    <w:rsid w:val="00340F19"/>
    <w:rsid w:val="00347808"/>
    <w:rsid w:val="0035696B"/>
    <w:rsid w:val="00372699"/>
    <w:rsid w:val="00376632"/>
    <w:rsid w:val="00393ABE"/>
    <w:rsid w:val="003C5379"/>
    <w:rsid w:val="003D4E41"/>
    <w:rsid w:val="003E2F04"/>
    <w:rsid w:val="003E4964"/>
    <w:rsid w:val="003E7FF6"/>
    <w:rsid w:val="003F458B"/>
    <w:rsid w:val="003F68C7"/>
    <w:rsid w:val="00434231"/>
    <w:rsid w:val="00436D09"/>
    <w:rsid w:val="004431AE"/>
    <w:rsid w:val="0044708C"/>
    <w:rsid w:val="00481D5F"/>
    <w:rsid w:val="00487284"/>
    <w:rsid w:val="0049095F"/>
    <w:rsid w:val="00490A5F"/>
    <w:rsid w:val="00494299"/>
    <w:rsid w:val="004A6F63"/>
    <w:rsid w:val="004C41BE"/>
    <w:rsid w:val="004D0702"/>
    <w:rsid w:val="004D093B"/>
    <w:rsid w:val="004D3F15"/>
    <w:rsid w:val="004E0012"/>
    <w:rsid w:val="00500AD4"/>
    <w:rsid w:val="00506F5A"/>
    <w:rsid w:val="00510F18"/>
    <w:rsid w:val="0051761E"/>
    <w:rsid w:val="005561AC"/>
    <w:rsid w:val="00570369"/>
    <w:rsid w:val="00571E77"/>
    <w:rsid w:val="00590F93"/>
    <w:rsid w:val="005C58A6"/>
    <w:rsid w:val="005D7DD8"/>
    <w:rsid w:val="005E313F"/>
    <w:rsid w:val="005E5A7B"/>
    <w:rsid w:val="006175D2"/>
    <w:rsid w:val="006271F8"/>
    <w:rsid w:val="006346D4"/>
    <w:rsid w:val="00643C38"/>
    <w:rsid w:val="00651F6F"/>
    <w:rsid w:val="006B227F"/>
    <w:rsid w:val="006B7F13"/>
    <w:rsid w:val="006E0331"/>
    <w:rsid w:val="006E13E4"/>
    <w:rsid w:val="006E5079"/>
    <w:rsid w:val="006F1F30"/>
    <w:rsid w:val="00717191"/>
    <w:rsid w:val="00722C3D"/>
    <w:rsid w:val="00724C7E"/>
    <w:rsid w:val="00731A2D"/>
    <w:rsid w:val="00733B7F"/>
    <w:rsid w:val="00735371"/>
    <w:rsid w:val="007635A7"/>
    <w:rsid w:val="00770A9E"/>
    <w:rsid w:val="00791B1E"/>
    <w:rsid w:val="007979C2"/>
    <w:rsid w:val="007A528C"/>
    <w:rsid w:val="007B2D73"/>
    <w:rsid w:val="007C378C"/>
    <w:rsid w:val="007C5843"/>
    <w:rsid w:val="007D0AD3"/>
    <w:rsid w:val="007E4E2A"/>
    <w:rsid w:val="007E62C2"/>
    <w:rsid w:val="008051D0"/>
    <w:rsid w:val="00806617"/>
    <w:rsid w:val="0081676A"/>
    <w:rsid w:val="0082064B"/>
    <w:rsid w:val="008225E4"/>
    <w:rsid w:val="00824C67"/>
    <w:rsid w:val="0082708D"/>
    <w:rsid w:val="008273E3"/>
    <w:rsid w:val="00851BCC"/>
    <w:rsid w:val="008705AD"/>
    <w:rsid w:val="00875D91"/>
    <w:rsid w:val="00877DF1"/>
    <w:rsid w:val="008A196E"/>
    <w:rsid w:val="008B1128"/>
    <w:rsid w:val="008C09C1"/>
    <w:rsid w:val="008C11DF"/>
    <w:rsid w:val="008C315E"/>
    <w:rsid w:val="008C3E69"/>
    <w:rsid w:val="008C4ACC"/>
    <w:rsid w:val="008C51CA"/>
    <w:rsid w:val="008C6270"/>
    <w:rsid w:val="008E7688"/>
    <w:rsid w:val="008F0CD3"/>
    <w:rsid w:val="00901B14"/>
    <w:rsid w:val="00912762"/>
    <w:rsid w:val="00916FF9"/>
    <w:rsid w:val="00945F5A"/>
    <w:rsid w:val="00947F82"/>
    <w:rsid w:val="00954E51"/>
    <w:rsid w:val="00956FAA"/>
    <w:rsid w:val="00967FA8"/>
    <w:rsid w:val="0098079B"/>
    <w:rsid w:val="009A219A"/>
    <w:rsid w:val="009A6D4C"/>
    <w:rsid w:val="009B0D01"/>
    <w:rsid w:val="009C3DFF"/>
    <w:rsid w:val="009C407D"/>
    <w:rsid w:val="009E4E15"/>
    <w:rsid w:val="00A07C29"/>
    <w:rsid w:val="00A21C8D"/>
    <w:rsid w:val="00A31ECA"/>
    <w:rsid w:val="00A325AA"/>
    <w:rsid w:val="00A50FEA"/>
    <w:rsid w:val="00A54AD7"/>
    <w:rsid w:val="00A557DD"/>
    <w:rsid w:val="00A562D0"/>
    <w:rsid w:val="00A5720B"/>
    <w:rsid w:val="00A61D51"/>
    <w:rsid w:val="00A71829"/>
    <w:rsid w:val="00A83DED"/>
    <w:rsid w:val="00AA4B08"/>
    <w:rsid w:val="00AA5135"/>
    <w:rsid w:val="00AC1CAC"/>
    <w:rsid w:val="00AC5626"/>
    <w:rsid w:val="00AC58B2"/>
    <w:rsid w:val="00AD56AF"/>
    <w:rsid w:val="00AE0D77"/>
    <w:rsid w:val="00AE0FB2"/>
    <w:rsid w:val="00AF3B00"/>
    <w:rsid w:val="00B045EB"/>
    <w:rsid w:val="00B11A06"/>
    <w:rsid w:val="00B20FD6"/>
    <w:rsid w:val="00B40F96"/>
    <w:rsid w:val="00B42B43"/>
    <w:rsid w:val="00B55F2A"/>
    <w:rsid w:val="00B738CA"/>
    <w:rsid w:val="00B80F71"/>
    <w:rsid w:val="00BA02CE"/>
    <w:rsid w:val="00BB0AEE"/>
    <w:rsid w:val="00BB1A1B"/>
    <w:rsid w:val="00BB43C2"/>
    <w:rsid w:val="00BB4D4C"/>
    <w:rsid w:val="00BC0B6A"/>
    <w:rsid w:val="00BD67FC"/>
    <w:rsid w:val="00BE1168"/>
    <w:rsid w:val="00BE2751"/>
    <w:rsid w:val="00BF334D"/>
    <w:rsid w:val="00BF37B9"/>
    <w:rsid w:val="00C00AB3"/>
    <w:rsid w:val="00C171C7"/>
    <w:rsid w:val="00C2408C"/>
    <w:rsid w:val="00C3427A"/>
    <w:rsid w:val="00C555AB"/>
    <w:rsid w:val="00C569D3"/>
    <w:rsid w:val="00C65541"/>
    <w:rsid w:val="00C666B1"/>
    <w:rsid w:val="00C75F35"/>
    <w:rsid w:val="00C9462C"/>
    <w:rsid w:val="00CB4DE5"/>
    <w:rsid w:val="00CD6F29"/>
    <w:rsid w:val="00CE476F"/>
    <w:rsid w:val="00D23C11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E1123"/>
    <w:rsid w:val="00DE3909"/>
    <w:rsid w:val="00E05E8E"/>
    <w:rsid w:val="00E0667F"/>
    <w:rsid w:val="00E079BB"/>
    <w:rsid w:val="00E4681C"/>
    <w:rsid w:val="00E50CC9"/>
    <w:rsid w:val="00E55D54"/>
    <w:rsid w:val="00E85D8E"/>
    <w:rsid w:val="00E933AC"/>
    <w:rsid w:val="00E95059"/>
    <w:rsid w:val="00EA1E05"/>
    <w:rsid w:val="00EC57E6"/>
    <w:rsid w:val="00EC58FF"/>
    <w:rsid w:val="00EE4952"/>
    <w:rsid w:val="00EF1040"/>
    <w:rsid w:val="00EF3681"/>
    <w:rsid w:val="00F17306"/>
    <w:rsid w:val="00F241FD"/>
    <w:rsid w:val="00F348EA"/>
    <w:rsid w:val="00F359F7"/>
    <w:rsid w:val="00F4528D"/>
    <w:rsid w:val="00F5212F"/>
    <w:rsid w:val="00FA0392"/>
    <w:rsid w:val="00FA6AE8"/>
    <w:rsid w:val="00FD12D4"/>
    <w:rsid w:val="00FD572A"/>
    <w:rsid w:val="00FE310A"/>
    <w:rsid w:val="00FF028E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16A02"/>
  <w15:docId w15:val="{ED35DE33-093F-45D3-BB33-9186806B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6346D4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6346D4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6346D4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346D4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346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C537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2708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6346D4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6346D4"/>
    <w:pPr>
      <w:spacing w:before="240"/>
      <w:jc w:val="both"/>
    </w:pPr>
  </w:style>
  <w:style w:type="character" w:customStyle="1" w:styleId="BodyTextChar">
    <w:name w:val="Body Text Char"/>
    <w:link w:val="BodyText"/>
    <w:rsid w:val="006346D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6346D4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6346D4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6346D4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6346D4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6346D4"/>
  </w:style>
  <w:style w:type="paragraph" w:styleId="Footer">
    <w:name w:val="footer"/>
    <w:basedOn w:val="BodyText"/>
    <w:link w:val="FooterChar"/>
    <w:uiPriority w:val="9"/>
    <w:rsid w:val="006346D4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6346D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6346D4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6346D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6346D4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346D4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3C537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6346D4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6346D4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6346D4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6346D4"/>
    <w:pPr>
      <w:contextualSpacing/>
    </w:pPr>
  </w:style>
  <w:style w:type="paragraph" w:customStyle="1" w:styleId="Indent3">
    <w:name w:val="Indent 3"/>
    <w:basedOn w:val="BodyText"/>
    <w:qFormat/>
    <w:rsid w:val="006346D4"/>
    <w:pPr>
      <w:spacing w:before="180"/>
      <w:ind w:left="1080"/>
    </w:pPr>
  </w:style>
  <w:style w:type="paragraph" w:customStyle="1" w:styleId="Indent4">
    <w:name w:val="Indent 4"/>
    <w:basedOn w:val="BodyText"/>
    <w:qFormat/>
    <w:rsid w:val="006346D4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6346D4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6346D4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6346D4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6346D4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3C537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6346D4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346D4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6346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37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6346D4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6346D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6346D4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3C537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6346D4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6346D4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6346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6346D4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346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299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D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5" ma:contentTypeDescription="Create a new document." ma:contentTypeScope="" ma:versionID="1b92517477f7de29cd4c316fadc83727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c5963211d1290b07fb32a6bde8b4cef0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73DAB-63FC-4CA0-B2C9-5EF9A409F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59030-4FD9-4119-B060-CDE16D6DA9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766E15-4289-4DCF-AE0C-52AA20FDE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348DEA-B5DD-4A28-9E01-8FCA02784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332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617: Guardrail</vt:lpstr>
    </vt:vector>
  </TitlesOfParts>
  <Company>DOT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617: Guardrail</dc:title>
  <dc:subject>Special Contract Requirements (SCR)</dc:subject>
  <dc:creator>Greg.Kwock@dot.gov</dc:creator>
  <cp:lastModifiedBy>Mariman, David (FHWA)</cp:lastModifiedBy>
  <cp:revision>56</cp:revision>
  <dcterms:created xsi:type="dcterms:W3CDTF">2014-07-09T21:24:00Z</dcterms:created>
  <dcterms:modified xsi:type="dcterms:W3CDTF">2025-03-14T20:49:00Z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