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AD34" w14:textId="77777777" w:rsidR="00BF6FC5" w:rsidRDefault="00BF6FC5" w:rsidP="00BF6FC5">
      <w:pPr>
        <w:pStyle w:val="Heading2"/>
      </w:pPr>
      <w:r>
        <w:t xml:space="preserve">Section </w:t>
      </w:r>
      <w:r w:rsidR="00B9744A">
        <w:t>1</w:t>
      </w:r>
      <w:r w:rsidR="001D0467">
        <w:t>0</w:t>
      </w:r>
      <w:r w:rsidR="00E93169">
        <w:t>9</w:t>
      </w:r>
      <w:r>
        <w:t xml:space="preserve">. — </w:t>
      </w:r>
      <w:r w:rsidR="00E93169" w:rsidRPr="00E93169">
        <w:rPr>
          <w:rStyle w:val="SectionName"/>
        </w:rPr>
        <w:t>M</w:t>
      </w:r>
      <w:r w:rsidR="005416CD">
        <w:rPr>
          <w:rStyle w:val="SectionName"/>
        </w:rPr>
        <w:t>EASUREMENT AND PAYMENT</w:t>
      </w:r>
    </w:p>
    <w:p w14:paraId="20716515" w14:textId="21FA6936" w:rsidR="00BF6FC5" w:rsidRDefault="0013068D" w:rsidP="00BF6FC5">
      <w:pPr>
        <w:pStyle w:val="Revisiondate"/>
      </w:pPr>
      <w:r>
        <w:t xml:space="preserve">01 APR </w:t>
      </w:r>
      <w:r w:rsidR="0010533C">
        <w:t>2025</w:t>
      </w:r>
      <w:r w:rsidR="001A53C5">
        <w:t xml:space="preserve"> </w:t>
      </w:r>
      <w:r w:rsidR="006138AF">
        <w:t>–</w:t>
      </w:r>
      <w:r w:rsidR="006138AF" w:rsidRPr="006138AF">
        <w:t xml:space="preserve"> </w:t>
      </w:r>
      <w:r w:rsidR="006138AF">
        <w:t>FP-</w:t>
      </w:r>
      <w:r w:rsidR="001A53C5">
        <w:t>24</w:t>
      </w:r>
    </w:p>
    <w:p w14:paraId="393F8B28" w14:textId="69A1026D" w:rsidR="0009415F" w:rsidRPr="0009415F" w:rsidRDefault="0009415F" w:rsidP="0009415F">
      <w:pPr>
        <w:pStyle w:val="Directions"/>
        <w:rPr>
          <w:rStyle w:val="DirectionsInfo"/>
        </w:rPr>
      </w:pPr>
      <w:r w:rsidRPr="0009415F">
        <w:rPr>
          <w:rStyle w:val="DirectionsInfo"/>
        </w:rPr>
        <w:t xml:space="preserve">WFL Specification </w:t>
      </w:r>
      <w:r w:rsidR="0013068D">
        <w:rPr>
          <w:rStyle w:val="DirectionsInfo"/>
        </w:rPr>
        <w:t xml:space="preserve">01 APR </w:t>
      </w:r>
      <w:r w:rsidR="00C3744C">
        <w:rPr>
          <w:rStyle w:val="DirectionsInfo"/>
        </w:rPr>
        <w:t>2025</w:t>
      </w:r>
      <w:r w:rsidR="00B8524B">
        <w:rPr>
          <w:rStyle w:val="DirectionsInfo"/>
        </w:rPr>
        <w:tab/>
        <w:t>1090010</w:t>
      </w:r>
    </w:p>
    <w:p w14:paraId="55CA54AC" w14:textId="77777777" w:rsidR="00B9744A" w:rsidRDefault="00B9744A" w:rsidP="0009415F">
      <w:pPr>
        <w:pStyle w:val="Directions"/>
      </w:pPr>
      <w:r>
        <w:t>Include the following in all projects.</w:t>
      </w:r>
    </w:p>
    <w:p w14:paraId="4E1F2DD7" w14:textId="1606A9CA" w:rsidR="0009415F" w:rsidRPr="0009415F" w:rsidRDefault="0009415F" w:rsidP="00426DF4">
      <w:pPr>
        <w:pStyle w:val="Heading3"/>
        <w:jc w:val="both"/>
        <w:rPr>
          <w:vanish/>
          <w:specVanish/>
        </w:rPr>
      </w:pPr>
      <w:r>
        <w:t xml:space="preserve">109.01 Measurement of Work. </w:t>
      </w:r>
    </w:p>
    <w:p w14:paraId="1D2E6567" w14:textId="40AEC8A8" w:rsidR="0009415F" w:rsidRDefault="0009415F" w:rsidP="00426DF4">
      <w:pPr>
        <w:pStyle w:val="Instructions"/>
      </w:pPr>
      <w:r>
        <w:t>Delete this Subsection and substitute the following</w:t>
      </w:r>
      <w:r w:rsidRPr="00426DF4">
        <w:rPr>
          <w:u w:val="none"/>
        </w:rPr>
        <w:t>:</w:t>
      </w:r>
    </w:p>
    <w:p w14:paraId="17F4E129" w14:textId="4BE9A346" w:rsidR="0009415F" w:rsidRDefault="00A40B5A" w:rsidP="0009415F">
      <w:pPr>
        <w:pStyle w:val="BodyText"/>
      </w:pPr>
      <w:r w:rsidRPr="006B1E87">
        <w:rPr>
          <w:b/>
          <w:bCs/>
        </w:rPr>
        <w:t>Measurement of Work.</w:t>
      </w:r>
      <w:r>
        <w:t xml:space="preserve"> </w:t>
      </w:r>
      <w:r w:rsidR="0009415F">
        <w:t>Take and record measurements and perform calculations to determine pay quantities for invoicing for work performed. Take or convert all measurements of work according to U.S. Customary measure.</w:t>
      </w:r>
    </w:p>
    <w:p w14:paraId="286E92F9" w14:textId="58CB2F55" w:rsidR="0009415F" w:rsidRDefault="0009415F" w:rsidP="0009415F">
      <w:pPr>
        <w:pStyle w:val="BodyText"/>
      </w:pPr>
      <w:r>
        <w:t>Unless otherwise specified, measure when the work is in-place and complete according to the contract. Measure the actual work performed, except do not measure work outside the design limits or other adjusted or specified limits (staked limits). Measure structures to the lines according to the plans or to approved lines adjusted to fit field conditions.</w:t>
      </w:r>
    </w:p>
    <w:p w14:paraId="35093353" w14:textId="16DBE115" w:rsidR="0009415F" w:rsidRDefault="0009415F" w:rsidP="0009415F">
      <w:pPr>
        <w:pStyle w:val="BodyText"/>
      </w:pPr>
      <w:r>
        <w:t>Take measurements as described in Subsection 109.02 unless otherwise modified by the Measurement Subsection of the Section controlling the work being performed.</w:t>
      </w:r>
      <w:r w:rsidR="00426DF4">
        <w:t xml:space="preserve"> </w:t>
      </w:r>
      <w:r w:rsidR="0084721D">
        <w:t xml:space="preserve">For individual pay items, the decimal accuracy for measurement of quantities will be determined by the CO. Decimal accuracy for measurement is one decimal beyond the accuracy </w:t>
      </w:r>
      <w:r w:rsidR="008F2C77">
        <w:t>of</w:t>
      </w:r>
      <w:r w:rsidR="0084721D">
        <w:t xml:space="preserve"> the quantity for payment.</w:t>
      </w:r>
    </w:p>
    <w:p w14:paraId="20CE75CE" w14:textId="77777777" w:rsidR="00D4068B" w:rsidRPr="00FC61E3" w:rsidRDefault="00D4068B" w:rsidP="00D4068B">
      <w:pPr>
        <w:pStyle w:val="BodyText"/>
        <w:widowControl w:val="0"/>
        <w:rPr>
          <w:bCs/>
        </w:rPr>
      </w:pPr>
      <w:r w:rsidRPr="00FC61E3">
        <w:t xml:space="preserve">Prepare, sign, and submit measurement notes and supporting field note documentation using an approved format. </w:t>
      </w:r>
      <w:r w:rsidRPr="00FC61E3">
        <w:rPr>
          <w:bCs/>
        </w:rPr>
        <w:t>Unacceptable measurement notes will be rejected and returned. Correct rejected measurement notes and resubmit.</w:t>
      </w:r>
    </w:p>
    <w:p w14:paraId="2CCB57F8" w14:textId="2E8DBCBB" w:rsidR="0009415F" w:rsidRDefault="0009415F" w:rsidP="0009415F">
      <w:pPr>
        <w:pStyle w:val="BodyText"/>
      </w:pPr>
      <w:r>
        <w:t>Submit measurement notes within 24 hours of completing work that is in-place and complete according to the contract. For on-going work, submit measurement notes weekly</w:t>
      </w:r>
      <w:r w:rsidR="003D606A">
        <w:t xml:space="preserve"> or as approved</w:t>
      </w:r>
      <w:r>
        <w:t xml:space="preserve">. When work is not complete, identify the measurement as being an interim measurement. Submit the final measurement when the </w:t>
      </w:r>
      <w:r w:rsidR="002661B8">
        <w:t xml:space="preserve">work </w:t>
      </w:r>
      <w:r>
        <w:t xml:space="preserve">is completed. Measurement notes form the basis of the Government’s receiving </w:t>
      </w:r>
      <w:r w:rsidR="002661B8">
        <w:t>reports described in</w:t>
      </w:r>
      <w:r>
        <w:t xml:space="preserve"> Subsection 109.08(</w:t>
      </w:r>
      <w:r w:rsidR="00F26FF6">
        <w:t>c</w:t>
      </w:r>
      <w:r>
        <w:t>).</w:t>
      </w:r>
    </w:p>
    <w:p w14:paraId="0FFA8E74" w14:textId="1004F4C2" w:rsidR="0009415F" w:rsidRDefault="00426DF4" w:rsidP="0009415F">
      <w:pPr>
        <w:pStyle w:val="BodyText"/>
      </w:pPr>
      <w:r>
        <w:t>I</w:t>
      </w:r>
      <w:r w:rsidR="0009415F">
        <w:t>nclude the following</w:t>
      </w:r>
      <w:r>
        <w:t xml:space="preserve"> </w:t>
      </w:r>
      <w:r w:rsidR="0009415F">
        <w:t>information</w:t>
      </w:r>
      <w:r w:rsidR="002661B8">
        <w:t xml:space="preserve"> in the measurement notes</w:t>
      </w:r>
      <w:r w:rsidR="0009415F">
        <w:t>:</w:t>
      </w:r>
    </w:p>
    <w:p w14:paraId="1A37A4F3" w14:textId="77777777" w:rsidR="0009415F" w:rsidRDefault="0009415F" w:rsidP="00551239">
      <w:pPr>
        <w:pStyle w:val="Indent1Tight"/>
      </w:pPr>
      <w:r w:rsidRPr="0009415F">
        <w:rPr>
          <w:b/>
        </w:rPr>
        <w:t>(a)</w:t>
      </w:r>
      <w:r>
        <w:t xml:space="preserve"> Project number and </w:t>
      </w:r>
      <w:proofErr w:type="gramStart"/>
      <w:r>
        <w:t>name;</w:t>
      </w:r>
      <w:proofErr w:type="gramEnd"/>
    </w:p>
    <w:p w14:paraId="63BFC994" w14:textId="77777777" w:rsidR="0009415F" w:rsidRDefault="0009415F" w:rsidP="00551239">
      <w:pPr>
        <w:pStyle w:val="Indent1Tight"/>
      </w:pPr>
      <w:r w:rsidRPr="0009415F">
        <w:rPr>
          <w:b/>
        </w:rPr>
        <w:t>(b)</w:t>
      </w:r>
      <w:r>
        <w:t xml:space="preserve"> </w:t>
      </w:r>
      <w:proofErr w:type="gramStart"/>
      <w:r>
        <w:t>Line item</w:t>
      </w:r>
      <w:proofErr w:type="gramEnd"/>
      <w:r>
        <w:t xml:space="preserve"> number, pay item number and description;</w:t>
      </w:r>
    </w:p>
    <w:p w14:paraId="4FA521A9" w14:textId="77777777" w:rsidR="0009415F" w:rsidRDefault="0009415F" w:rsidP="00551239">
      <w:pPr>
        <w:pStyle w:val="Indent1Tight"/>
      </w:pPr>
      <w:r w:rsidRPr="0009415F">
        <w:rPr>
          <w:b/>
        </w:rPr>
        <w:t>(c)</w:t>
      </w:r>
      <w:r>
        <w:t xml:space="preserve"> Date the work was </w:t>
      </w:r>
      <w:proofErr w:type="gramStart"/>
      <w:r>
        <w:t>performed;</w:t>
      </w:r>
      <w:proofErr w:type="gramEnd"/>
    </w:p>
    <w:p w14:paraId="0D0923A5" w14:textId="77777777" w:rsidR="0009415F" w:rsidRDefault="0009415F" w:rsidP="00551239">
      <w:pPr>
        <w:pStyle w:val="Indent1Tight"/>
      </w:pPr>
      <w:r w:rsidRPr="0009415F">
        <w:rPr>
          <w:b/>
        </w:rPr>
        <w:t>(d)</w:t>
      </w:r>
      <w:r>
        <w:t xml:space="preserve"> Location of the </w:t>
      </w:r>
      <w:proofErr w:type="gramStart"/>
      <w:r>
        <w:t>work;</w:t>
      </w:r>
      <w:proofErr w:type="gramEnd"/>
    </w:p>
    <w:p w14:paraId="32A91CDA" w14:textId="77777777" w:rsidR="0009415F" w:rsidRDefault="0009415F" w:rsidP="00551239">
      <w:pPr>
        <w:pStyle w:val="Indent1Tight"/>
      </w:pPr>
      <w:r w:rsidRPr="0009415F">
        <w:rPr>
          <w:b/>
        </w:rPr>
        <w:t>(e)</w:t>
      </w:r>
      <w:r>
        <w:t xml:space="preserve"> Measured </w:t>
      </w:r>
      <w:proofErr w:type="gramStart"/>
      <w:r>
        <w:t>quantity;</w:t>
      </w:r>
      <w:proofErr w:type="gramEnd"/>
    </w:p>
    <w:p w14:paraId="1CC49B9B" w14:textId="77777777" w:rsidR="0009415F" w:rsidRDefault="0009415F" w:rsidP="00551239">
      <w:pPr>
        <w:pStyle w:val="Indent1Tight"/>
      </w:pPr>
      <w:r w:rsidRPr="0009415F">
        <w:rPr>
          <w:b/>
        </w:rPr>
        <w:t>(f)</w:t>
      </w:r>
      <w:r>
        <w:t xml:space="preserve"> Calculations made to arrive at the </w:t>
      </w:r>
      <w:proofErr w:type="gramStart"/>
      <w:r>
        <w:t>quantity;</w:t>
      </w:r>
      <w:proofErr w:type="gramEnd"/>
    </w:p>
    <w:p w14:paraId="3D925CEE" w14:textId="77777777" w:rsidR="0009415F" w:rsidRDefault="0009415F" w:rsidP="00551239">
      <w:pPr>
        <w:pStyle w:val="Indent1Tight"/>
      </w:pPr>
      <w:r w:rsidRPr="0009415F">
        <w:rPr>
          <w:b/>
        </w:rPr>
        <w:t>(g)</w:t>
      </w:r>
      <w:r>
        <w:t xml:space="preserve"> Supporting sketches and details as needed to clearly define the work performed and the quantity </w:t>
      </w:r>
      <w:proofErr w:type="gramStart"/>
      <w:r>
        <w:t>measured;</w:t>
      </w:r>
      <w:proofErr w:type="gramEnd"/>
    </w:p>
    <w:p w14:paraId="3303E536" w14:textId="77777777" w:rsidR="0009415F" w:rsidRDefault="0009415F" w:rsidP="00551239">
      <w:pPr>
        <w:pStyle w:val="Indent1Tight"/>
      </w:pPr>
      <w:r w:rsidRPr="0009415F">
        <w:rPr>
          <w:b/>
        </w:rPr>
        <w:t>(h)</w:t>
      </w:r>
      <w:r>
        <w:t xml:space="preserve"> Names of persons measuring the </w:t>
      </w:r>
      <w:proofErr w:type="gramStart"/>
      <w:r>
        <w:t>work;</w:t>
      </w:r>
      <w:proofErr w:type="gramEnd"/>
    </w:p>
    <w:p w14:paraId="377D1EC9" w14:textId="77777777" w:rsidR="0009415F" w:rsidRDefault="0009415F" w:rsidP="00551239">
      <w:pPr>
        <w:pStyle w:val="Indent1Tight"/>
      </w:pPr>
      <w:r w:rsidRPr="009E06C6">
        <w:rPr>
          <w:b/>
        </w:rPr>
        <w:lastRenderedPageBreak/>
        <w:t>(i)</w:t>
      </w:r>
      <w:r>
        <w:t xml:space="preserve"> Identification as to whether the measurement is interim or final; and</w:t>
      </w:r>
    </w:p>
    <w:p w14:paraId="5612DA83" w14:textId="77777777" w:rsidR="0009415F" w:rsidRDefault="0009415F" w:rsidP="00551239">
      <w:pPr>
        <w:pStyle w:val="Indent1Tight"/>
      </w:pPr>
      <w:r w:rsidRPr="009E06C6">
        <w:rPr>
          <w:b/>
        </w:rPr>
        <w:t>(j)</w:t>
      </w:r>
      <w:r>
        <w:t xml:space="preserve"> Signed certification statement by the persons taking the measurements and performing the calculations, that the measurements and calculations are correct.</w:t>
      </w:r>
    </w:p>
    <w:p w14:paraId="2C55B719" w14:textId="77777777" w:rsidR="008F2C77" w:rsidRPr="00AD19BC" w:rsidRDefault="008F2C77" w:rsidP="008F2C77">
      <w:pPr>
        <w:pStyle w:val="BodyText"/>
      </w:pPr>
      <w:r w:rsidRPr="00AD19BC">
        <w:t>Prepare pay item measurement notes on Form FHWA 17</w:t>
      </w:r>
      <w:r>
        <w:t>-</w:t>
      </w:r>
      <w:r w:rsidRPr="00AD19BC">
        <w:t xml:space="preserve">348 </w:t>
      </w:r>
      <w:r w:rsidR="0048558E" w:rsidRPr="0048558E">
        <w:rPr>
          <w:i/>
        </w:rPr>
        <w:t>Daily Record of Measurement and Payment</w:t>
      </w:r>
      <w:r w:rsidRPr="00AD19BC">
        <w:rPr>
          <w:iCs/>
        </w:rPr>
        <w:t>.</w:t>
      </w:r>
      <w:r w:rsidRPr="00AD19BC">
        <w:t xml:space="preserve"> </w:t>
      </w:r>
      <w:r>
        <w:t>A</w:t>
      </w:r>
      <w:r w:rsidRPr="00AD19BC">
        <w:t xml:space="preserve">n electronic version of the form </w:t>
      </w:r>
      <w:r>
        <w:t>is available at</w:t>
      </w:r>
      <w:r w:rsidRPr="00AD19BC">
        <w:t>:</w:t>
      </w:r>
    </w:p>
    <w:p w14:paraId="6F5DF5F2" w14:textId="1E79AA32" w:rsidR="008F2C77" w:rsidRDefault="00000000">
      <w:pPr>
        <w:pStyle w:val="Indent1Tight"/>
      </w:pPr>
      <w:hyperlink r:id="rId11" w:history="1">
        <w:r w:rsidR="00DD02F4" w:rsidRPr="00DD02F4">
          <w:rPr>
            <w:rStyle w:val="Hyperlink"/>
          </w:rPr>
          <w:t>https://highways.dot.gov/federal-lands/construction/forms-wfl</w:t>
        </w:r>
      </w:hyperlink>
      <w:r w:rsidR="00426DF4">
        <w:t>.</w:t>
      </w:r>
    </w:p>
    <w:p w14:paraId="0EC51B73" w14:textId="77777777" w:rsidR="00DC2919" w:rsidRPr="00A26EFC" w:rsidRDefault="00DC2919" w:rsidP="00A26EFC">
      <w:pPr>
        <w:pStyle w:val="Heading3"/>
        <w:rPr>
          <w:vanish/>
          <w:specVanish/>
        </w:rPr>
      </w:pPr>
      <w:r w:rsidRPr="00A26EFC">
        <w:rPr>
          <w:rStyle w:val="Heading3Char"/>
          <w:b/>
          <w:bCs/>
        </w:rPr>
        <w:t>109.02(d)(1)</w:t>
      </w:r>
      <w:r w:rsidRPr="00A26EFC">
        <w:rPr>
          <w:rStyle w:val="Heading3Char"/>
          <w:i/>
          <w:iCs/>
        </w:rPr>
        <w:t>(a)</w:t>
      </w:r>
      <w:r w:rsidRPr="00A26EFC">
        <w:rPr>
          <w:b w:val="0"/>
          <w:bCs w:val="0"/>
        </w:rPr>
        <w:t xml:space="preserve"> </w:t>
      </w:r>
      <w:r w:rsidRPr="00A26EFC">
        <w:rPr>
          <w:b w:val="0"/>
          <w:bCs w:val="0"/>
          <w:i/>
          <w:iCs/>
        </w:rPr>
        <w:t>Average end area method.</w:t>
      </w:r>
      <w:r w:rsidRPr="00A26EFC">
        <w:rPr>
          <w:b w:val="0"/>
          <w:bCs w:val="0"/>
        </w:rPr>
        <w:t xml:space="preserve"> </w:t>
      </w:r>
    </w:p>
    <w:p w14:paraId="3ABAB32A" w14:textId="77777777" w:rsidR="00DC2919" w:rsidRDefault="00DC2919" w:rsidP="003577E5">
      <w:pPr>
        <w:pStyle w:val="Instructions"/>
      </w:pPr>
      <w:r>
        <w:t>Delete this Subsection and substitute the following:</w:t>
      </w:r>
    </w:p>
    <w:p w14:paraId="3E2987A4" w14:textId="17ECAA6D" w:rsidR="00DC2919" w:rsidRDefault="00DC2919" w:rsidP="00993C2B">
      <w:pPr>
        <w:pStyle w:val="Indent3"/>
      </w:pPr>
      <w:r w:rsidRPr="00E14FA3">
        <w:rPr>
          <w:i/>
          <w:iCs/>
        </w:rPr>
        <w:t xml:space="preserve">(a) Average end area method. </w:t>
      </w:r>
      <w:r>
        <w:t>Take cross-sections of the original ground. Use design or staked templates to determine end areas. Compute the quantity using the average end areas multiplied by the horizontal distance along a centerline or reference line between the end areas.</w:t>
      </w:r>
    </w:p>
    <w:p w14:paraId="611527C1" w14:textId="759830A4" w:rsidR="0009415F" w:rsidRPr="009E06C6" w:rsidRDefault="009E06C6" w:rsidP="00497B99">
      <w:pPr>
        <w:pStyle w:val="Directions"/>
        <w:rPr>
          <w:rStyle w:val="DirectionsInfo"/>
        </w:rPr>
      </w:pPr>
      <w:r w:rsidRPr="009E06C6">
        <w:rPr>
          <w:rStyle w:val="DirectionsInfo"/>
        </w:rPr>
        <w:t xml:space="preserve">WFL Specification </w:t>
      </w:r>
      <w:r w:rsidR="0013068D">
        <w:rPr>
          <w:rStyle w:val="DirectionsInfo"/>
        </w:rPr>
        <w:t>01 APR 2024</w:t>
      </w:r>
      <w:r w:rsidR="00B8524B">
        <w:rPr>
          <w:rStyle w:val="DirectionsInfo"/>
        </w:rPr>
        <w:tab/>
        <w:t>1090040</w:t>
      </w:r>
    </w:p>
    <w:p w14:paraId="03A30689" w14:textId="0B45491D" w:rsidR="0009415F" w:rsidRDefault="0009415F" w:rsidP="00497B99">
      <w:pPr>
        <w:pStyle w:val="Directions"/>
      </w:pPr>
      <w:r>
        <w:t>Include the following when there are pay items measured by the ton and if either statement is true:</w:t>
      </w:r>
    </w:p>
    <w:p w14:paraId="203E6D12" w14:textId="7C129355" w:rsidR="009E06C6" w:rsidRDefault="0009415F" w:rsidP="00497B99">
      <w:pPr>
        <w:pStyle w:val="Directions"/>
        <w:numPr>
          <w:ilvl w:val="0"/>
          <w:numId w:val="20"/>
        </w:numPr>
        <w:ind w:left="360"/>
      </w:pPr>
      <w:r>
        <w:t xml:space="preserve">There is less than 20,000 tons of any one </w:t>
      </w:r>
      <w:proofErr w:type="gramStart"/>
      <w:r>
        <w:t>item;</w:t>
      </w:r>
      <w:r w:rsidR="009E06C6">
        <w:t xml:space="preserve">  OR</w:t>
      </w:r>
      <w:proofErr w:type="gramEnd"/>
    </w:p>
    <w:p w14:paraId="15EB00F7" w14:textId="6FAB0DC0" w:rsidR="0009415F" w:rsidRDefault="0009415F" w:rsidP="00497B99">
      <w:pPr>
        <w:pStyle w:val="Directions"/>
        <w:numPr>
          <w:ilvl w:val="0"/>
          <w:numId w:val="20"/>
        </w:numPr>
        <w:ind w:left="360"/>
      </w:pPr>
      <w:r>
        <w:t>A total of less than 30,000 tons of all items to be weighed.</w:t>
      </w:r>
    </w:p>
    <w:p w14:paraId="7390CAC2" w14:textId="546740AF" w:rsidR="0009415F" w:rsidRPr="009E06C6" w:rsidRDefault="009E06C6" w:rsidP="007C2D08">
      <w:pPr>
        <w:pStyle w:val="Heading3"/>
        <w:jc w:val="both"/>
        <w:rPr>
          <w:vanish/>
          <w:specVanish/>
        </w:rPr>
      </w:pPr>
      <w:r>
        <w:t xml:space="preserve">109.03 Weighing Procedures and Devices. </w:t>
      </w:r>
    </w:p>
    <w:p w14:paraId="14BF7C2D" w14:textId="77777777" w:rsidR="0009415F" w:rsidRDefault="0009415F" w:rsidP="00417682">
      <w:pPr>
        <w:pStyle w:val="Instructions"/>
        <w:keepNext w:val="0"/>
      </w:pPr>
      <w:r>
        <w:t xml:space="preserve">Delete the first paragraph of </w:t>
      </w:r>
      <w:r w:rsidR="005C4E07">
        <w:t xml:space="preserve">Subsection </w:t>
      </w:r>
      <w:r>
        <w:t>(c) and substitute the following</w:t>
      </w:r>
      <w:r w:rsidRPr="005C4E07">
        <w:rPr>
          <w:u w:val="none"/>
        </w:rPr>
        <w:t>:</w:t>
      </w:r>
    </w:p>
    <w:p w14:paraId="110B7C07" w14:textId="38DE098F" w:rsidR="0009415F" w:rsidRDefault="007C2E18" w:rsidP="009E06C6">
      <w:pPr>
        <w:pStyle w:val="Indent1"/>
      </w:pPr>
      <w:r w:rsidRPr="007C2E18">
        <w:rPr>
          <w:b/>
        </w:rPr>
        <w:t xml:space="preserve">(c) Project weighing system. </w:t>
      </w:r>
      <w:r w:rsidR="00106B35">
        <w:t>Provide</w:t>
      </w:r>
      <w:r w:rsidR="0009415F">
        <w:t xml:space="preserve">, erect, and maintain </w:t>
      </w:r>
      <w:r w:rsidR="00A23EDF">
        <w:t xml:space="preserve">approved </w:t>
      </w:r>
      <w:r w:rsidR="0009415F">
        <w:t>automatic digital scales.</w:t>
      </w:r>
      <w:r>
        <w:t xml:space="preserve"> </w:t>
      </w:r>
      <w:r w:rsidR="0009415F">
        <w:t>For small quantities, manual scales may be used when approved in writing and if the method of weighing meets all other contract requirements.</w:t>
      </w:r>
      <w:r>
        <w:t xml:space="preserve"> </w:t>
      </w:r>
      <w:r w:rsidR="0009415F">
        <w:t>Provide scales that record mass at least to the nearest 100</w:t>
      </w:r>
      <w:r w:rsidR="00551239">
        <w:t> </w:t>
      </w:r>
      <w:r w:rsidR="0009415F">
        <w:t>pounds.</w:t>
      </w:r>
      <w:r>
        <w:t xml:space="preserve"> </w:t>
      </w:r>
      <w:r w:rsidR="0009415F">
        <w:t>Maintain the scale accuracy to within 0.5</w:t>
      </w:r>
      <w:r w:rsidR="00DD02F4">
        <w:t> </w:t>
      </w:r>
      <w:r w:rsidR="0009415F">
        <w:t xml:space="preserve">percent of the correct mass throughout the </w:t>
      </w:r>
      <w:r w:rsidR="00B709EB">
        <w:t xml:space="preserve">calibration </w:t>
      </w:r>
      <w:r w:rsidR="0009415F">
        <w:t xml:space="preserve">range of </w:t>
      </w:r>
      <w:r w:rsidR="00B709EB">
        <w:t>the scale</w:t>
      </w:r>
      <w:r w:rsidR="0009415F">
        <w:t>.</w:t>
      </w:r>
    </w:p>
    <w:p w14:paraId="00A1DC6F" w14:textId="669939D2" w:rsidR="0009415F" w:rsidRPr="009E06C6" w:rsidRDefault="009E06C6" w:rsidP="009E06C6">
      <w:pPr>
        <w:pStyle w:val="Directions"/>
        <w:rPr>
          <w:rStyle w:val="DirectionsInfo"/>
        </w:rPr>
      </w:pPr>
      <w:r w:rsidRPr="009E06C6">
        <w:rPr>
          <w:rStyle w:val="DirectionsInfo"/>
        </w:rPr>
        <w:t xml:space="preserve">WFL Specification </w:t>
      </w:r>
      <w:r w:rsidR="0013068D">
        <w:rPr>
          <w:rStyle w:val="DirectionsInfo"/>
        </w:rPr>
        <w:t>01 APR 2024</w:t>
      </w:r>
      <w:r w:rsidR="00B8524B">
        <w:rPr>
          <w:rStyle w:val="DirectionsInfo"/>
        </w:rPr>
        <w:tab/>
        <w:t>1090050</w:t>
      </w:r>
    </w:p>
    <w:p w14:paraId="5C92312A" w14:textId="77777777" w:rsidR="0009415F" w:rsidRDefault="0009415F" w:rsidP="009E06C6">
      <w:pPr>
        <w:pStyle w:val="Directions"/>
      </w:pPr>
      <w:r>
        <w:t xml:space="preserve">Include the following </w:t>
      </w:r>
      <w:r w:rsidR="006F1A5B">
        <w:t>with MATOC</w:t>
      </w:r>
      <w:r>
        <w:t xml:space="preserve"> projects.</w:t>
      </w:r>
    </w:p>
    <w:p w14:paraId="6F7503DA" w14:textId="39F2AC5D" w:rsidR="0009415F" w:rsidRPr="009E06C6" w:rsidRDefault="009E06C6" w:rsidP="007C2E18">
      <w:pPr>
        <w:pStyle w:val="Heading3"/>
        <w:jc w:val="both"/>
        <w:rPr>
          <w:vanish/>
          <w:specVanish/>
        </w:rPr>
      </w:pPr>
      <w:r>
        <w:t xml:space="preserve">109.03 Weighing Procedures and Devices. </w:t>
      </w:r>
    </w:p>
    <w:p w14:paraId="646DA6E0" w14:textId="3E63533C" w:rsidR="00737C0C" w:rsidRPr="00737C0C" w:rsidRDefault="00737C0C" w:rsidP="00737C0C">
      <w:pPr>
        <w:pStyle w:val="Instructions"/>
      </w:pPr>
      <w:r>
        <w:t xml:space="preserve">Delete </w:t>
      </w:r>
      <w:r w:rsidR="00AB20EB">
        <w:t>S</w:t>
      </w:r>
      <w:r>
        <w:t>ubsection (c)(2) and substitute the following</w:t>
      </w:r>
      <w:r w:rsidRPr="00906CC6">
        <w:rPr>
          <w:u w:val="none"/>
        </w:rPr>
        <w:t>:</w:t>
      </w:r>
    </w:p>
    <w:p w14:paraId="65F1EBCD" w14:textId="77777777" w:rsidR="0009415F" w:rsidRDefault="0009415F" w:rsidP="009E06C6">
      <w:pPr>
        <w:pStyle w:val="Indent2"/>
      </w:pPr>
      <w:r w:rsidRPr="009E06C6">
        <w:rPr>
          <w:b/>
        </w:rPr>
        <w:t>(2)</w:t>
      </w:r>
      <w:r>
        <w:t xml:space="preserve"> Task Order </w:t>
      </w:r>
      <w:proofErr w:type="gramStart"/>
      <w:r>
        <w:t>line item</w:t>
      </w:r>
      <w:proofErr w:type="gramEnd"/>
      <w:r>
        <w:t xml:space="preserve"> number, pay item number and description;</w:t>
      </w:r>
    </w:p>
    <w:p w14:paraId="0CF0077E" w14:textId="7C04E6BB" w:rsidR="0009415F" w:rsidRPr="009E06C6" w:rsidRDefault="009E06C6" w:rsidP="009E06C6">
      <w:pPr>
        <w:pStyle w:val="Directions"/>
        <w:rPr>
          <w:rStyle w:val="DirectionsInfo"/>
        </w:rPr>
      </w:pPr>
      <w:r w:rsidRPr="009E06C6">
        <w:rPr>
          <w:rStyle w:val="DirectionsInfo"/>
        </w:rPr>
        <w:lastRenderedPageBreak/>
        <w:t xml:space="preserve">WFL Specification </w:t>
      </w:r>
      <w:r w:rsidR="0013068D">
        <w:rPr>
          <w:rStyle w:val="DirectionsInfo"/>
        </w:rPr>
        <w:t>01 APR 2024</w:t>
      </w:r>
      <w:r w:rsidR="00B8524B">
        <w:rPr>
          <w:rStyle w:val="DirectionsInfo"/>
        </w:rPr>
        <w:tab/>
        <w:t>1090060</w:t>
      </w:r>
    </w:p>
    <w:p w14:paraId="6F5C3574" w14:textId="77777777" w:rsidR="0009415F" w:rsidRDefault="0009415F" w:rsidP="009E06C6">
      <w:pPr>
        <w:pStyle w:val="Directions"/>
      </w:pPr>
      <w:r>
        <w:t xml:space="preserve">Include the following </w:t>
      </w:r>
      <w:r w:rsidR="006F1A5B">
        <w:t>with MATOC</w:t>
      </w:r>
      <w:r>
        <w:t xml:space="preserve"> projects.</w:t>
      </w:r>
    </w:p>
    <w:p w14:paraId="3F7B8453" w14:textId="31263F15" w:rsidR="0009415F" w:rsidRPr="00C95F3D" w:rsidRDefault="00C95F3D" w:rsidP="007C2E18">
      <w:pPr>
        <w:pStyle w:val="Heading3"/>
        <w:jc w:val="both"/>
        <w:rPr>
          <w:vanish/>
          <w:specVanish/>
        </w:rPr>
      </w:pPr>
      <w:r>
        <w:t xml:space="preserve">109.04 Receiving Procedures. </w:t>
      </w:r>
    </w:p>
    <w:p w14:paraId="595475B1" w14:textId="74410609" w:rsidR="00E92D0D" w:rsidRPr="00E92D0D" w:rsidRDefault="00E92D0D" w:rsidP="00E92D0D">
      <w:pPr>
        <w:pStyle w:val="Instructions"/>
      </w:pPr>
      <w:r>
        <w:t xml:space="preserve">Delete </w:t>
      </w:r>
      <w:r w:rsidR="00AB20EB">
        <w:t>S</w:t>
      </w:r>
      <w:r>
        <w:t>ubsection (b) and substitute the following</w:t>
      </w:r>
      <w:r w:rsidRPr="00906CC6">
        <w:rPr>
          <w:u w:val="none"/>
        </w:rPr>
        <w:t>:</w:t>
      </w:r>
    </w:p>
    <w:p w14:paraId="364B661B" w14:textId="77777777" w:rsidR="0009415F" w:rsidRDefault="0009415F" w:rsidP="00C95F3D">
      <w:pPr>
        <w:pStyle w:val="Indent1"/>
      </w:pPr>
      <w:r w:rsidRPr="00C95F3D">
        <w:rPr>
          <w:b/>
        </w:rPr>
        <w:t>(b)</w:t>
      </w:r>
      <w:r>
        <w:t xml:space="preserve"> Task Order </w:t>
      </w:r>
      <w:proofErr w:type="gramStart"/>
      <w:r>
        <w:t>line item</w:t>
      </w:r>
      <w:proofErr w:type="gramEnd"/>
      <w:r>
        <w:t xml:space="preserve"> number, pay item number and description;</w:t>
      </w:r>
    </w:p>
    <w:p w14:paraId="1AA8B763" w14:textId="02442812" w:rsidR="0009415F" w:rsidRPr="00561F12" w:rsidRDefault="00561F12" w:rsidP="00561F12">
      <w:pPr>
        <w:pStyle w:val="Directions"/>
        <w:rPr>
          <w:rStyle w:val="DirectionsInfo"/>
        </w:rPr>
      </w:pPr>
      <w:r w:rsidRPr="00561F12">
        <w:rPr>
          <w:rStyle w:val="DirectionsInfo"/>
        </w:rPr>
        <w:t xml:space="preserve">WFL Specification </w:t>
      </w:r>
      <w:r w:rsidR="0013068D">
        <w:rPr>
          <w:rStyle w:val="DirectionsInfo"/>
        </w:rPr>
        <w:t>01 APR 2024</w:t>
      </w:r>
      <w:r w:rsidR="00B8524B">
        <w:rPr>
          <w:rStyle w:val="DirectionsInfo"/>
        </w:rPr>
        <w:tab/>
        <w:t>1090080</w:t>
      </w:r>
    </w:p>
    <w:p w14:paraId="558FFF32" w14:textId="77777777" w:rsidR="00747A34" w:rsidRDefault="0009415F" w:rsidP="00561F12">
      <w:pPr>
        <w:pStyle w:val="Directions"/>
      </w:pPr>
      <w:r>
        <w:t xml:space="preserve">Include the following </w:t>
      </w:r>
      <w:r w:rsidR="00927DE5">
        <w:t xml:space="preserve">on projects that </w:t>
      </w:r>
      <w:r w:rsidR="001E117B">
        <w:t>contain an adjustment for price fluctuation and is:</w:t>
      </w:r>
    </w:p>
    <w:p w14:paraId="103DFDC7" w14:textId="77777777" w:rsidR="00747A34" w:rsidRDefault="00747A34" w:rsidP="00561F12">
      <w:pPr>
        <w:pStyle w:val="Directions"/>
      </w:pPr>
      <w:r>
        <w:tab/>
      </w:r>
      <w:r w:rsidR="009937FA">
        <w:t xml:space="preserve">- </w:t>
      </w:r>
      <w:r>
        <w:t>NOT funded by DoD (Department of Defense</w:t>
      </w:r>
      <w:proofErr w:type="gramStart"/>
      <w:r>
        <w:t>);</w:t>
      </w:r>
      <w:proofErr w:type="gramEnd"/>
    </w:p>
    <w:p w14:paraId="353D8240" w14:textId="77777777" w:rsidR="00747A34" w:rsidRDefault="00747A34" w:rsidP="00561F12">
      <w:pPr>
        <w:pStyle w:val="Directions"/>
      </w:pPr>
      <w:r>
        <w:tab/>
      </w:r>
      <w:r w:rsidR="009937FA">
        <w:t xml:space="preserve">- </w:t>
      </w:r>
      <w:r>
        <w:t xml:space="preserve">greater than 1 year in </w:t>
      </w:r>
      <w:proofErr w:type="gramStart"/>
      <w:r>
        <w:t>duration;</w:t>
      </w:r>
      <w:proofErr w:type="gramEnd"/>
    </w:p>
    <w:p w14:paraId="13BAAB9E" w14:textId="77777777" w:rsidR="00747A34" w:rsidRDefault="00747A34" w:rsidP="00561F12">
      <w:pPr>
        <w:pStyle w:val="Directions"/>
      </w:pPr>
      <w:r>
        <w:tab/>
      </w:r>
      <w:r w:rsidR="009937FA">
        <w:t xml:space="preserve">- </w:t>
      </w:r>
      <w:r>
        <w:t xml:space="preserve">engineers estimate over $2.5 </w:t>
      </w:r>
      <w:proofErr w:type="gramStart"/>
      <w:r>
        <w:t>million;</w:t>
      </w:r>
      <w:proofErr w:type="gramEnd"/>
    </w:p>
    <w:p w14:paraId="7B56821E" w14:textId="77777777" w:rsidR="00F75BAD" w:rsidRDefault="00747A34" w:rsidP="00561F12">
      <w:pPr>
        <w:pStyle w:val="Directions"/>
      </w:pPr>
      <w:r>
        <w:tab/>
      </w:r>
      <w:r w:rsidR="009937FA">
        <w:t xml:space="preserve">- </w:t>
      </w:r>
      <w:r w:rsidR="00A92352">
        <w:t>include</w:t>
      </w:r>
      <w:r w:rsidR="00E265CE">
        <w:t>s</w:t>
      </w:r>
      <w:r w:rsidR="00A92352">
        <w:t xml:space="preserve"> pay items from Table 109-2 that total more than 25% of the engineers estimate</w:t>
      </w:r>
      <w:r w:rsidR="00F75BAD">
        <w:t>; and,</w:t>
      </w:r>
    </w:p>
    <w:p w14:paraId="40CAC22B" w14:textId="77777777" w:rsidR="00747A34" w:rsidRDefault="00F75BAD" w:rsidP="00561F12">
      <w:pPr>
        <w:pStyle w:val="Directions"/>
      </w:pPr>
      <w:r>
        <w:tab/>
      </w:r>
      <w:r w:rsidR="009937FA">
        <w:t xml:space="preserve">- </w:t>
      </w:r>
      <w:r>
        <w:t>approved by the Construction Operations Engineer</w:t>
      </w:r>
      <w:r w:rsidR="00A92352">
        <w:t>.</w:t>
      </w:r>
    </w:p>
    <w:p w14:paraId="3D87BC78" w14:textId="77777777" w:rsidR="0009415F" w:rsidRDefault="0009415F" w:rsidP="00561F12">
      <w:pPr>
        <w:pStyle w:val="Directions"/>
      </w:pPr>
      <w:r>
        <w:t>Contact a CO if you want to change the payment/rebate to something other than 50% of the Base Price Index.</w:t>
      </w:r>
    </w:p>
    <w:p w14:paraId="1B562110" w14:textId="77777777" w:rsidR="0009415F" w:rsidRDefault="0009415F" w:rsidP="00561F12">
      <w:pPr>
        <w:pStyle w:val="Directions"/>
      </w:pPr>
      <w:r>
        <w:t>See WFLHD PDDM Supplement 9.6.8.6-1 at:</w:t>
      </w:r>
    </w:p>
    <w:p w14:paraId="523F11A4" w14:textId="77777777" w:rsidR="0009415F" w:rsidRDefault="00000000" w:rsidP="00561F12">
      <w:pPr>
        <w:pStyle w:val="Directions"/>
      </w:pPr>
      <w:hyperlink r:id="rId12" w:history="1">
        <w:r w:rsidR="005F5155" w:rsidRPr="005F5155">
          <w:rPr>
            <w:rStyle w:val="Hyperlink"/>
          </w:rPr>
          <w:t>https://flh.fhwa.dot.gov/resources/design/pddm/wfl/ch09/9.6.8.6-1.pdf</w:t>
        </w:r>
      </w:hyperlink>
      <w:r w:rsidR="0009415F" w:rsidRPr="005F5155">
        <w:t xml:space="preserve">, </w:t>
      </w:r>
      <w:r w:rsidR="0009415F">
        <w:t>for more information.</w:t>
      </w:r>
    </w:p>
    <w:p w14:paraId="5894AE92" w14:textId="77777777" w:rsidR="0009415F" w:rsidRDefault="0009415F" w:rsidP="00561F12">
      <w:pPr>
        <w:pStyle w:val="Directions"/>
      </w:pPr>
      <w:r>
        <w:t>The Construction Branch is responsible for obtaining and maintaining prices for the indexes.</w:t>
      </w:r>
    </w:p>
    <w:p w14:paraId="5AFA09C1" w14:textId="77777777" w:rsidR="0009415F" w:rsidRDefault="0009415F" w:rsidP="00561F12">
      <w:pPr>
        <w:pStyle w:val="Directions"/>
      </w:pPr>
      <w:r>
        <w:t>Coordinate with Construction’s Final Review Engineer to set up monitoring controls.</w:t>
      </w:r>
    </w:p>
    <w:p w14:paraId="45550E79" w14:textId="512B3C29" w:rsidR="00561F12" w:rsidRPr="00561F12" w:rsidRDefault="0009415F" w:rsidP="00417682">
      <w:pPr>
        <w:pStyle w:val="Heading3"/>
        <w:jc w:val="both"/>
        <w:rPr>
          <w:vanish/>
          <w:specVanish/>
        </w:rPr>
      </w:pPr>
      <w:r>
        <w:t>109.06A Adjustments for Price Fluctuations.</w:t>
      </w:r>
      <w:r w:rsidR="00561F12">
        <w:t xml:space="preserve"> </w:t>
      </w:r>
    </w:p>
    <w:p w14:paraId="6B191E3B" w14:textId="77777777" w:rsidR="0009415F" w:rsidRDefault="0009415F" w:rsidP="00417682">
      <w:pPr>
        <w:pStyle w:val="Instructions"/>
      </w:pPr>
      <w:r w:rsidRPr="00417682">
        <w:rPr>
          <w:u w:val="none"/>
        </w:rPr>
        <w:t>(</w:t>
      </w:r>
      <w:r>
        <w:t>Added Subsection</w:t>
      </w:r>
      <w:r w:rsidRPr="00417682">
        <w:rPr>
          <w:u w:val="none"/>
        </w:rPr>
        <w:t>).</w:t>
      </w:r>
    </w:p>
    <w:p w14:paraId="3DA9BB50" w14:textId="60DBAFF4" w:rsidR="0009415F" w:rsidRDefault="0009415F" w:rsidP="0009415F">
      <w:pPr>
        <w:pStyle w:val="BodyText"/>
      </w:pPr>
      <w:r>
        <w:t>Price adjustments for pay items listed in Table 109-1 will be made when the price fluctuation for products used in the performance of the work exceed specified limits.</w:t>
      </w:r>
      <w:r w:rsidR="00417682">
        <w:t xml:space="preserve"> </w:t>
      </w:r>
      <w:r>
        <w:t>Adjustments are not intended to compensate for normal day-to-day fluctuations, seasonal changes, or to serve as a guarantee of full compensation for price fluctuations.</w:t>
      </w:r>
      <w:r w:rsidR="00417682">
        <w:t xml:space="preserve"> </w:t>
      </w:r>
      <w:r>
        <w:t>It does provide for sharing in a portion of the risk, which could result from unusual price fluctuations.</w:t>
      </w:r>
      <w:r w:rsidR="00417682">
        <w:t xml:space="preserve"> </w:t>
      </w:r>
      <w:r>
        <w:t>No price adjustments will be made for work performed beyond the fixed completion date.</w:t>
      </w:r>
    </w:p>
    <w:p w14:paraId="3383CBE6" w14:textId="6CBA3588" w:rsidR="0009415F" w:rsidRPr="00561F12" w:rsidRDefault="00561F12" w:rsidP="00561F12">
      <w:pPr>
        <w:pStyle w:val="Directions"/>
        <w:rPr>
          <w:rStyle w:val="DirectionsInfo"/>
        </w:rPr>
      </w:pPr>
      <w:r w:rsidRPr="00561F12">
        <w:rPr>
          <w:rStyle w:val="DirectionsInfo"/>
        </w:rPr>
        <w:lastRenderedPageBreak/>
        <w:t xml:space="preserve">WFL Specification </w:t>
      </w:r>
      <w:r w:rsidR="0013068D">
        <w:rPr>
          <w:rStyle w:val="DirectionsInfo"/>
        </w:rPr>
        <w:t>01 APR 2024</w:t>
      </w:r>
      <w:r w:rsidR="00B8524B">
        <w:rPr>
          <w:rStyle w:val="DirectionsInfo"/>
        </w:rPr>
        <w:tab/>
        <w:t>1090090</w:t>
      </w:r>
    </w:p>
    <w:p w14:paraId="6231F63E" w14:textId="77777777" w:rsidR="001E117B" w:rsidRDefault="001E117B" w:rsidP="00561F12">
      <w:pPr>
        <w:pStyle w:val="Directions"/>
      </w:pPr>
      <w:r>
        <w:t>Include the following on projects that contain an adjustment for price fluctuation.</w:t>
      </w:r>
    </w:p>
    <w:p w14:paraId="31C09180" w14:textId="77777777" w:rsidR="001E117B" w:rsidRDefault="001E117B" w:rsidP="00561F12">
      <w:pPr>
        <w:pStyle w:val="Directions"/>
      </w:pPr>
    </w:p>
    <w:p w14:paraId="3999ED7E" w14:textId="77777777" w:rsidR="0007583D" w:rsidRDefault="0009415F" w:rsidP="00561F12">
      <w:pPr>
        <w:pStyle w:val="Directions"/>
      </w:pPr>
      <w:r>
        <w:t>Note</w:t>
      </w:r>
      <w:r w:rsidR="0007583D">
        <w:t>s</w:t>
      </w:r>
      <w:r>
        <w:t>:</w:t>
      </w:r>
    </w:p>
    <w:p w14:paraId="439AA155" w14:textId="19F13203" w:rsidR="0009415F" w:rsidRDefault="0007583D" w:rsidP="00561F12">
      <w:pPr>
        <w:pStyle w:val="Directions"/>
      </w:pPr>
      <w:r>
        <w:t>1.</w:t>
      </w:r>
      <w:r w:rsidR="0009415F">
        <w:t xml:space="preserve"> Pay items listed in Table 109-1 are examples of work requiring products with prices that may fluctuate. Add or delete pay items as required. Use the </w:t>
      </w:r>
      <w:proofErr w:type="gramStart"/>
      <w:r w:rsidR="0009415F">
        <w:t>line item</w:t>
      </w:r>
      <w:proofErr w:type="gramEnd"/>
      <w:r w:rsidR="0009415F">
        <w:t xml:space="preserve"> number and the entire 9 digit pay item number identifiers. Fuel adjustment pay items to consider are listed in Table</w:t>
      </w:r>
      <w:r w:rsidR="00561F12">
        <w:t> </w:t>
      </w:r>
      <w:r w:rsidR="0009415F">
        <w:t>109</w:t>
      </w:r>
      <w:r w:rsidR="00561F12">
        <w:noBreakHyphen/>
      </w:r>
      <w:r w:rsidR="0009415F">
        <w:t>2.</w:t>
      </w:r>
    </w:p>
    <w:p w14:paraId="77EF7FD3" w14:textId="77777777" w:rsidR="0007583D" w:rsidRDefault="0007583D" w:rsidP="00561F12">
      <w:pPr>
        <w:pStyle w:val="Directions"/>
      </w:pPr>
    </w:p>
    <w:p w14:paraId="55185523" w14:textId="155FAC9B" w:rsidR="0007583D" w:rsidRDefault="0007583D" w:rsidP="00561F12">
      <w:pPr>
        <w:pStyle w:val="Directions"/>
      </w:pPr>
      <w:r>
        <w:t xml:space="preserve">2. Insert Type of Asphalt Used and location it’s </w:t>
      </w:r>
      <w:proofErr w:type="gramStart"/>
      <w:r>
        <w:t>reported, and</w:t>
      </w:r>
      <w:proofErr w:type="gramEnd"/>
      <w:r>
        <w:t xml:space="preserve"> remove the highlights.</w:t>
      </w:r>
    </w:p>
    <w:p w14:paraId="1E2C1ECF" w14:textId="77777777" w:rsidR="0009415F" w:rsidRDefault="0009415F" w:rsidP="00561F12">
      <w:pPr>
        <w:pStyle w:val="Caption"/>
      </w:pPr>
      <w:r>
        <w:t>Table 109-1</w:t>
      </w:r>
    </w:p>
    <w:p w14:paraId="1DA6B861" w14:textId="77777777" w:rsidR="0009415F" w:rsidRDefault="0009415F" w:rsidP="00561F12">
      <w:pPr>
        <w:pStyle w:val="Caption"/>
      </w:pPr>
      <w:r>
        <w:t>Pricing Adjustment Pay Items</w:t>
      </w:r>
    </w:p>
    <w:tbl>
      <w:tblPr>
        <w:tblStyle w:val="TableSCR"/>
        <w:tblW w:w="0" w:type="auto"/>
        <w:tblLook w:val="04A0" w:firstRow="1" w:lastRow="0" w:firstColumn="1" w:lastColumn="0" w:noHBand="0" w:noVBand="1"/>
      </w:tblPr>
      <w:tblGrid>
        <w:gridCol w:w="1036"/>
        <w:gridCol w:w="970"/>
        <w:gridCol w:w="1529"/>
        <w:gridCol w:w="943"/>
      </w:tblGrid>
      <w:tr w:rsidR="00561F12" w:rsidRPr="00561F12" w14:paraId="74BD8C12" w14:textId="77777777" w:rsidTr="0056392A">
        <w:trPr>
          <w:cnfStyle w:val="100000000000" w:firstRow="1" w:lastRow="0" w:firstColumn="0" w:lastColumn="0" w:oddVBand="0" w:evenVBand="0" w:oddHBand="0" w:evenHBand="0" w:firstRowFirstColumn="0" w:firstRowLastColumn="0" w:lastRowFirstColumn="0" w:lastRowLastColumn="0"/>
          <w:trHeight w:val="340"/>
        </w:trPr>
        <w:tc>
          <w:tcPr>
            <w:tcW w:w="0" w:type="dxa"/>
          </w:tcPr>
          <w:p w14:paraId="1FFC182A" w14:textId="77777777" w:rsidR="00561F12" w:rsidRPr="00561F12" w:rsidRDefault="00561F12" w:rsidP="004376FA">
            <w:proofErr w:type="gramStart"/>
            <w:r w:rsidRPr="00561F12">
              <w:t>Line Item</w:t>
            </w:r>
            <w:proofErr w:type="gramEnd"/>
            <w:r w:rsidRPr="00561F12">
              <w:t xml:space="preserve"> Number</w:t>
            </w:r>
          </w:p>
        </w:tc>
        <w:tc>
          <w:tcPr>
            <w:tcW w:w="0" w:type="dxa"/>
          </w:tcPr>
          <w:p w14:paraId="2537BC35" w14:textId="77777777" w:rsidR="00561F12" w:rsidRPr="00561F12" w:rsidRDefault="00561F12" w:rsidP="004376FA">
            <w:r w:rsidRPr="00561F12">
              <w:t>Pay Item Number</w:t>
            </w:r>
          </w:p>
        </w:tc>
        <w:tc>
          <w:tcPr>
            <w:tcW w:w="0" w:type="dxa"/>
          </w:tcPr>
          <w:p w14:paraId="663BF287" w14:textId="77777777" w:rsidR="00561F12" w:rsidRPr="00561F12" w:rsidRDefault="00561F12" w:rsidP="004376FA">
            <w:r w:rsidRPr="00561F12">
              <w:t>Pay Item Description</w:t>
            </w:r>
          </w:p>
        </w:tc>
        <w:tc>
          <w:tcPr>
            <w:tcW w:w="0" w:type="dxa"/>
          </w:tcPr>
          <w:p w14:paraId="24D40481" w14:textId="77777777" w:rsidR="00561F12" w:rsidRPr="00561F12" w:rsidRDefault="00561F12" w:rsidP="004376FA">
            <w:r w:rsidRPr="00561F12">
              <w:t>Product</w:t>
            </w:r>
          </w:p>
        </w:tc>
      </w:tr>
      <w:tr w:rsidR="00561F12" w:rsidRPr="00561F12" w14:paraId="161CD7FA" w14:textId="77777777" w:rsidTr="0056392A">
        <w:trPr>
          <w:trHeight w:val="337"/>
        </w:trPr>
        <w:tc>
          <w:tcPr>
            <w:tcW w:w="0" w:type="dxa"/>
          </w:tcPr>
          <w:p w14:paraId="26B38C1F" w14:textId="77777777" w:rsidR="00561F12" w:rsidRPr="00561F12" w:rsidRDefault="00561F12" w:rsidP="00561F12">
            <w:pPr>
              <w:keepNext/>
              <w:rPr>
                <w:b/>
              </w:rPr>
            </w:pPr>
            <w:r w:rsidRPr="00561F12">
              <w:t>[INSERT NO.]</w:t>
            </w:r>
          </w:p>
        </w:tc>
        <w:tc>
          <w:tcPr>
            <w:tcW w:w="0" w:type="dxa"/>
          </w:tcPr>
          <w:p w14:paraId="51134539" w14:textId="77777777" w:rsidR="00561F12" w:rsidRPr="00561F12" w:rsidRDefault="00561F12" w:rsidP="00561F12">
            <w:pPr>
              <w:keepNext/>
              <w:rPr>
                <w:b/>
              </w:rPr>
            </w:pPr>
            <w:r w:rsidRPr="00561F12">
              <w:t>20401-0000</w:t>
            </w:r>
          </w:p>
        </w:tc>
        <w:tc>
          <w:tcPr>
            <w:tcW w:w="0" w:type="dxa"/>
          </w:tcPr>
          <w:p w14:paraId="6B536BE1" w14:textId="77777777" w:rsidR="00561F12" w:rsidRPr="00561F12" w:rsidRDefault="00561F12" w:rsidP="00561F12">
            <w:pPr>
              <w:keepNext/>
              <w:rPr>
                <w:b/>
              </w:rPr>
            </w:pPr>
            <w:r w:rsidRPr="00561F12">
              <w:t>Roadway excavation</w:t>
            </w:r>
          </w:p>
        </w:tc>
        <w:tc>
          <w:tcPr>
            <w:tcW w:w="0" w:type="dxa"/>
          </w:tcPr>
          <w:p w14:paraId="7A5E7E36" w14:textId="77777777" w:rsidR="00561F12" w:rsidRPr="00561F12" w:rsidRDefault="00561F12" w:rsidP="00561F12">
            <w:r w:rsidRPr="00561F12">
              <w:t>Fuel</w:t>
            </w:r>
          </w:p>
        </w:tc>
      </w:tr>
      <w:tr w:rsidR="00561F12" w:rsidRPr="00561F12" w14:paraId="1730142B" w14:textId="77777777" w:rsidTr="0056392A">
        <w:trPr>
          <w:trHeight w:val="337"/>
        </w:trPr>
        <w:tc>
          <w:tcPr>
            <w:tcW w:w="0" w:type="dxa"/>
          </w:tcPr>
          <w:p w14:paraId="6B965D1F" w14:textId="77777777" w:rsidR="00561F12" w:rsidRPr="00561F12" w:rsidRDefault="00561F12" w:rsidP="00561F12">
            <w:pPr>
              <w:keepNext/>
              <w:rPr>
                <w:b/>
              </w:rPr>
            </w:pPr>
            <w:r w:rsidRPr="00561F12">
              <w:t>[INSERT NO.]</w:t>
            </w:r>
          </w:p>
        </w:tc>
        <w:tc>
          <w:tcPr>
            <w:tcW w:w="0" w:type="dxa"/>
          </w:tcPr>
          <w:p w14:paraId="027F5D29" w14:textId="77777777" w:rsidR="00561F12" w:rsidRPr="00561F12" w:rsidRDefault="00561F12" w:rsidP="00561F12">
            <w:pPr>
              <w:keepNext/>
              <w:rPr>
                <w:b/>
              </w:rPr>
            </w:pPr>
            <w:r w:rsidRPr="00561F12">
              <w:t>20402-0000</w:t>
            </w:r>
          </w:p>
        </w:tc>
        <w:tc>
          <w:tcPr>
            <w:tcW w:w="0" w:type="dxa"/>
          </w:tcPr>
          <w:p w14:paraId="6B259AC6" w14:textId="77777777" w:rsidR="00561F12" w:rsidRPr="00561F12" w:rsidRDefault="00561F12" w:rsidP="00561F12">
            <w:pPr>
              <w:keepNext/>
              <w:rPr>
                <w:b/>
              </w:rPr>
            </w:pPr>
            <w:r w:rsidRPr="00561F12">
              <w:t>Subexcavation</w:t>
            </w:r>
          </w:p>
        </w:tc>
        <w:tc>
          <w:tcPr>
            <w:tcW w:w="0" w:type="dxa"/>
          </w:tcPr>
          <w:p w14:paraId="1CAF9692" w14:textId="77777777" w:rsidR="00561F12" w:rsidRPr="00561F12" w:rsidRDefault="00561F12" w:rsidP="00561F12">
            <w:r w:rsidRPr="00561F12">
              <w:t>Fuel</w:t>
            </w:r>
          </w:p>
        </w:tc>
      </w:tr>
      <w:tr w:rsidR="00561F12" w:rsidRPr="00561F12" w14:paraId="74F7C926" w14:textId="77777777" w:rsidTr="0056392A">
        <w:trPr>
          <w:trHeight w:val="337"/>
        </w:trPr>
        <w:tc>
          <w:tcPr>
            <w:tcW w:w="0" w:type="dxa"/>
          </w:tcPr>
          <w:p w14:paraId="2A8260C8" w14:textId="77777777" w:rsidR="00561F12" w:rsidRPr="00561F12" w:rsidRDefault="00561F12" w:rsidP="00561F12">
            <w:pPr>
              <w:keepNext/>
              <w:rPr>
                <w:b/>
              </w:rPr>
            </w:pPr>
            <w:r w:rsidRPr="00561F12">
              <w:t>[INSERT NO.]</w:t>
            </w:r>
          </w:p>
        </w:tc>
        <w:tc>
          <w:tcPr>
            <w:tcW w:w="0" w:type="dxa"/>
          </w:tcPr>
          <w:p w14:paraId="66C7A41B" w14:textId="77777777" w:rsidR="00561F12" w:rsidRPr="00561F12" w:rsidRDefault="00561F12" w:rsidP="00561F12">
            <w:pPr>
              <w:keepNext/>
              <w:rPr>
                <w:b/>
              </w:rPr>
            </w:pPr>
            <w:r w:rsidRPr="00561F12">
              <w:t>30101-0000</w:t>
            </w:r>
          </w:p>
        </w:tc>
        <w:tc>
          <w:tcPr>
            <w:tcW w:w="0" w:type="dxa"/>
          </w:tcPr>
          <w:p w14:paraId="13EF9CA4" w14:textId="77777777" w:rsidR="00561F12" w:rsidRPr="00561F12" w:rsidRDefault="00561F12" w:rsidP="00561F12">
            <w:pPr>
              <w:keepNext/>
              <w:rPr>
                <w:b/>
              </w:rPr>
            </w:pPr>
            <w:r w:rsidRPr="00561F12">
              <w:t>Aggregate base</w:t>
            </w:r>
          </w:p>
        </w:tc>
        <w:tc>
          <w:tcPr>
            <w:tcW w:w="0" w:type="dxa"/>
          </w:tcPr>
          <w:p w14:paraId="6A590A94" w14:textId="77777777" w:rsidR="00561F12" w:rsidRPr="00561F12" w:rsidRDefault="00561F12" w:rsidP="00561F12">
            <w:r w:rsidRPr="00561F12">
              <w:t>Fuel</w:t>
            </w:r>
          </w:p>
        </w:tc>
      </w:tr>
      <w:tr w:rsidR="00561F12" w:rsidRPr="00561F12" w14:paraId="3D09E50F" w14:textId="77777777" w:rsidTr="0056392A">
        <w:trPr>
          <w:trHeight w:val="337"/>
        </w:trPr>
        <w:tc>
          <w:tcPr>
            <w:tcW w:w="0" w:type="dxa"/>
          </w:tcPr>
          <w:p w14:paraId="60EC9A88" w14:textId="77777777" w:rsidR="00561F12" w:rsidRPr="00561F12" w:rsidRDefault="00561F12" w:rsidP="00561F12">
            <w:pPr>
              <w:keepNext/>
              <w:rPr>
                <w:b/>
              </w:rPr>
            </w:pPr>
            <w:r w:rsidRPr="00561F12">
              <w:t>[INSERT NO.]</w:t>
            </w:r>
          </w:p>
        </w:tc>
        <w:tc>
          <w:tcPr>
            <w:tcW w:w="0" w:type="dxa"/>
          </w:tcPr>
          <w:p w14:paraId="6FF14A9D" w14:textId="77777777" w:rsidR="00561F12" w:rsidRPr="00561F12" w:rsidRDefault="00561F12" w:rsidP="00561F12">
            <w:pPr>
              <w:keepNext/>
              <w:rPr>
                <w:b/>
              </w:rPr>
            </w:pPr>
            <w:r w:rsidRPr="00561F12">
              <w:t>40101-1000</w:t>
            </w:r>
          </w:p>
        </w:tc>
        <w:tc>
          <w:tcPr>
            <w:tcW w:w="0" w:type="dxa"/>
          </w:tcPr>
          <w:p w14:paraId="16C868DE" w14:textId="77777777" w:rsidR="00561F12" w:rsidRPr="00561F12" w:rsidRDefault="00592617" w:rsidP="0056165E">
            <w:pPr>
              <w:keepNext/>
              <w:rPr>
                <w:b/>
              </w:rPr>
            </w:pPr>
            <w:r>
              <w:t xml:space="preserve">Asphalt concrete pavement, gyratory mix, </w:t>
            </w:r>
          </w:p>
        </w:tc>
        <w:tc>
          <w:tcPr>
            <w:tcW w:w="0" w:type="dxa"/>
          </w:tcPr>
          <w:p w14:paraId="216BBBA1" w14:textId="77777777" w:rsidR="00561F12" w:rsidRPr="00561F12" w:rsidRDefault="00561F12" w:rsidP="004376FA">
            <w:r w:rsidRPr="00561F12">
              <w:t>Asphalt binder</w:t>
            </w:r>
            <w:r>
              <w:t xml:space="preserve"> </w:t>
            </w:r>
            <w:r w:rsidRPr="00561F12">
              <w:t>&amp;</w:t>
            </w:r>
            <w:r w:rsidR="004376FA">
              <w:t> </w:t>
            </w:r>
            <w:r w:rsidRPr="00561F12">
              <w:t>Fuel</w:t>
            </w:r>
          </w:p>
        </w:tc>
      </w:tr>
    </w:tbl>
    <w:p w14:paraId="3FA5348F" w14:textId="593F5484" w:rsidR="0009415F" w:rsidRDefault="0009415F" w:rsidP="0009415F">
      <w:pPr>
        <w:pStyle w:val="BodyText"/>
      </w:pPr>
      <w:r>
        <w:t>Monthly adjustments will be accrued with the payment or rebate to be made in the final voucher.</w:t>
      </w:r>
      <w:r w:rsidR="00417682">
        <w:t xml:space="preserve"> </w:t>
      </w:r>
      <w:r>
        <w:t>A partial price adjustment payment may be made once every 12 months or when the unpaid accrued increase exceeds $10,000 when requested in writing.</w:t>
      </w:r>
      <w:r w:rsidR="00417682">
        <w:t xml:space="preserve"> </w:t>
      </w:r>
      <w:r>
        <w:t>The Government will withhold a rebate when the deductive accrual exceeds $10,000.</w:t>
      </w:r>
    </w:p>
    <w:p w14:paraId="3FDE300F" w14:textId="735215C9" w:rsidR="0009415F" w:rsidRDefault="0009415F" w:rsidP="0009415F">
      <w:pPr>
        <w:pStyle w:val="BodyText"/>
      </w:pPr>
      <w:r>
        <w:t>The maximum allowable monthly and final adjustment for payment to the Contractor or rebate to the Government is limited to 50</w:t>
      </w:r>
      <w:r w:rsidR="00DD02F4">
        <w:t xml:space="preserve"> percent</w:t>
      </w:r>
      <w:r>
        <w:t xml:space="preserve"> of the Base Price Index.</w:t>
      </w:r>
    </w:p>
    <w:p w14:paraId="49E68EAF" w14:textId="0A74A84C" w:rsidR="0009415F" w:rsidRDefault="0009415F" w:rsidP="004376FA">
      <w:pPr>
        <w:pStyle w:val="Indent1"/>
      </w:pPr>
      <w:r w:rsidRPr="004376FA">
        <w:rPr>
          <w:b/>
        </w:rPr>
        <w:t>(a) Asphalt binder adjustment.</w:t>
      </w:r>
      <w:r w:rsidR="00417682">
        <w:rPr>
          <w:b/>
        </w:rPr>
        <w:t xml:space="preserve"> </w:t>
      </w:r>
      <w:r>
        <w:t xml:space="preserve">The Government will determine price indexes using price data obtained from the </w:t>
      </w:r>
      <w:r w:rsidRPr="00551239">
        <w:rPr>
          <w:i/>
        </w:rPr>
        <w:t>Asphalt Weekly Monitor</w:t>
      </w:r>
      <w:r w:rsidRPr="00551239">
        <w:rPr>
          <w:vertAlign w:val="superscript"/>
        </w:rPr>
        <w:t>®</w:t>
      </w:r>
      <w:r>
        <w:t xml:space="preserve"> by </w:t>
      </w:r>
      <w:proofErr w:type="spellStart"/>
      <w:r>
        <w:t>Poten</w:t>
      </w:r>
      <w:proofErr w:type="spellEnd"/>
      <w:r>
        <w:t xml:space="preserve"> and Partners, Inc.</w:t>
      </w:r>
      <w:r w:rsidR="00417682">
        <w:t xml:space="preserve"> </w:t>
      </w:r>
      <w:r>
        <w:t xml:space="preserve">The weekly high and low selling price data for </w:t>
      </w:r>
      <w:r w:rsidRPr="007C22BE">
        <w:rPr>
          <w:highlight w:val="yellow"/>
        </w:rPr>
        <w:t>[INSERT TYPE OF ASPHALT USED]</w:t>
      </w:r>
      <w:r>
        <w:t xml:space="preserve"> reported for </w:t>
      </w:r>
      <w:r w:rsidRPr="007C22BE">
        <w:rPr>
          <w:highlight w:val="yellow"/>
        </w:rPr>
        <w:t xml:space="preserve">[INSERT </w:t>
      </w:r>
      <w:r w:rsidR="0016271D">
        <w:rPr>
          <w:highlight w:val="yellow"/>
        </w:rPr>
        <w:t>Eastern Montana, Western Montana, Northern Wyoming, Boise, Northern Idaho, Seattle, or Portland</w:t>
      </w:r>
      <w:r w:rsidRPr="007C22BE">
        <w:rPr>
          <w:highlight w:val="yellow"/>
        </w:rPr>
        <w:t>]</w:t>
      </w:r>
      <w:r>
        <w:t xml:space="preserve"> will be averaged and used to establish a Base Price Index (BPI) and a Monthly Performance Price Index (MPPI).</w:t>
      </w:r>
      <w:r w:rsidR="00417682">
        <w:t xml:space="preserve"> </w:t>
      </w:r>
      <w:r>
        <w:t>These indexes are defined as follows:</w:t>
      </w:r>
    </w:p>
    <w:p w14:paraId="2CFCA43F" w14:textId="1C839092" w:rsidR="0009415F" w:rsidRDefault="0009415F" w:rsidP="004376FA">
      <w:pPr>
        <w:pStyle w:val="Indent2"/>
      </w:pPr>
      <w:r w:rsidRPr="004376FA">
        <w:rPr>
          <w:b/>
        </w:rPr>
        <w:t>(1) Base Price Index.</w:t>
      </w:r>
      <w:r w:rsidR="00417682">
        <w:t xml:space="preserve"> </w:t>
      </w:r>
      <w:r>
        <w:t xml:space="preserve">The BPI is a price index determined by the arithmetic average for prices in the four </w:t>
      </w:r>
      <w:r w:rsidRPr="00551239">
        <w:rPr>
          <w:i/>
        </w:rPr>
        <w:t>Asphalt Weekly Monitor</w:t>
      </w:r>
      <w:r w:rsidRPr="00551239">
        <w:rPr>
          <w:vertAlign w:val="superscript"/>
        </w:rPr>
        <w:t>®</w:t>
      </w:r>
      <w:r>
        <w:t xml:space="preserve"> publications immediately preceding the bid opening.</w:t>
      </w:r>
    </w:p>
    <w:p w14:paraId="7335C21A" w14:textId="77777777" w:rsidR="0009415F" w:rsidRDefault="0009415F" w:rsidP="004376FA">
      <w:pPr>
        <w:pStyle w:val="Indent3"/>
      </w:pPr>
      <w:proofErr w:type="gramStart"/>
      <w:r>
        <w:lastRenderedPageBreak/>
        <w:t>BPI</w:t>
      </w:r>
      <w:r w:rsidRPr="00551239">
        <w:rPr>
          <w:vertAlign w:val="subscript"/>
        </w:rPr>
        <w:t>(</w:t>
      </w:r>
      <w:proofErr w:type="gramEnd"/>
      <w:r w:rsidRPr="00551239">
        <w:rPr>
          <w:vertAlign w:val="subscript"/>
        </w:rPr>
        <w:t>Asphalt Binder)</w:t>
      </w:r>
      <w:r>
        <w:t xml:space="preserve"> = $ </w:t>
      </w:r>
      <w:r w:rsidRPr="0030194A">
        <w:rPr>
          <w:color w:val="FF0000"/>
        </w:rPr>
        <w:t>[PRICE TO BE INSERTED AT AWARD]</w:t>
      </w:r>
      <w:r>
        <w:t xml:space="preserve"> per ton</w:t>
      </w:r>
    </w:p>
    <w:p w14:paraId="706448A4" w14:textId="0E876AAC" w:rsidR="0009415F" w:rsidRDefault="0009415F" w:rsidP="004376FA">
      <w:pPr>
        <w:pStyle w:val="Indent2"/>
      </w:pPr>
      <w:r w:rsidRPr="004376FA">
        <w:rPr>
          <w:b/>
        </w:rPr>
        <w:t>(2) Monthly Performance Price Index.</w:t>
      </w:r>
      <w:r w:rsidR="00417682">
        <w:t xml:space="preserve"> </w:t>
      </w:r>
      <w:r>
        <w:t xml:space="preserve">The MPPI is the arithmetic average of the weekly price data from four </w:t>
      </w:r>
      <w:r w:rsidRPr="00551239">
        <w:rPr>
          <w:i/>
        </w:rPr>
        <w:t>Asphalt Weekly Monitor</w:t>
      </w:r>
      <w:r w:rsidRPr="00551239">
        <w:rPr>
          <w:vertAlign w:val="superscript"/>
        </w:rPr>
        <w:t>®</w:t>
      </w:r>
      <w:r>
        <w:t xml:space="preserve"> publications issued before the last Wednesday of the month in which the work was performed.</w:t>
      </w:r>
    </w:p>
    <w:p w14:paraId="5243BCAE" w14:textId="77777777" w:rsidR="0009415F" w:rsidRDefault="0009415F" w:rsidP="004376FA">
      <w:pPr>
        <w:pStyle w:val="Indent2"/>
      </w:pPr>
      <w:r>
        <w:t>The BPI and MPPI will be posted at:</w:t>
      </w:r>
    </w:p>
    <w:p w14:paraId="0BAA37DB" w14:textId="77777777" w:rsidR="0063098D" w:rsidRDefault="00000000" w:rsidP="00417682">
      <w:pPr>
        <w:pStyle w:val="Indent3"/>
      </w:pPr>
      <w:hyperlink r:id="rId13" w:history="1">
        <w:r w:rsidR="00C538FB" w:rsidRPr="00AC2116">
          <w:rPr>
            <w:rStyle w:val="Hyperlink"/>
          </w:rPr>
          <w:t>https://highways.dot.gov/federal-lands/business/escalation-factors-wfl</w:t>
        </w:r>
      </w:hyperlink>
      <w:r w:rsidR="00436E09">
        <w:t>.</w:t>
      </w:r>
    </w:p>
    <w:p w14:paraId="1C2D7B77" w14:textId="00D35E3E" w:rsidR="0009415F" w:rsidRDefault="0009415F" w:rsidP="004376FA">
      <w:pPr>
        <w:pStyle w:val="Indent1"/>
      </w:pPr>
      <w:r>
        <w:t>Asphalt binder contained in RAP incorporated into the mix will be excluded from price adjustments. Price adjustments to asphalt binder will be calculated by the Government using a ratio of the MPPI/BPI to determine price adjustments as follows:</w:t>
      </w:r>
    </w:p>
    <w:p w14:paraId="17E652D5" w14:textId="661F71EA" w:rsidR="004376FA" w:rsidRDefault="0009415F" w:rsidP="0009415F">
      <w:pPr>
        <w:pStyle w:val="Indent1"/>
        <w:numPr>
          <w:ilvl w:val="0"/>
          <w:numId w:val="21"/>
        </w:numPr>
        <w:ind w:left="720"/>
      </w:pPr>
      <w:r w:rsidRPr="00551239">
        <w:rPr>
          <w:b/>
        </w:rPr>
        <w:t>No price adjustment</w:t>
      </w:r>
      <w:r w:rsidR="00D90181">
        <w:rPr>
          <w:b/>
        </w:rPr>
        <w:t>.</w:t>
      </w:r>
      <w:r>
        <w:t xml:space="preserve"> When the ratio MPPI/BPI falls within the range of 0.90 to 1.10, no price adjustment will be made for asphalt binder used in construction work performed during the relevant month.</w:t>
      </w:r>
    </w:p>
    <w:p w14:paraId="7A047D9B" w14:textId="2F5C166F" w:rsidR="0009415F" w:rsidRDefault="0009415F" w:rsidP="004376FA">
      <w:pPr>
        <w:pStyle w:val="Indent1"/>
        <w:keepNext/>
        <w:numPr>
          <w:ilvl w:val="0"/>
          <w:numId w:val="21"/>
        </w:numPr>
        <w:ind w:left="720"/>
      </w:pPr>
      <w:r w:rsidRPr="00551239">
        <w:rPr>
          <w:b/>
        </w:rPr>
        <w:t>Government rebate</w:t>
      </w:r>
      <w:r w:rsidR="00D90181">
        <w:rPr>
          <w:b/>
        </w:rPr>
        <w:t>.</w:t>
      </w:r>
      <w:r>
        <w:t xml:space="preserve"> When the ratio MPPI/BPI is calculated to be less than 0.90, the Government is due a rebate as follows:</w:t>
      </w:r>
    </w:p>
    <w:p w14:paraId="1953A769" w14:textId="77777777" w:rsidR="0009415F" w:rsidRDefault="0009415F" w:rsidP="004376FA">
      <w:pPr>
        <w:pStyle w:val="Indent3"/>
      </w:pPr>
      <w:r>
        <w:t>Government Rebate = (0.90 – MPPI/BPI) (BPI) (Q)</w:t>
      </w:r>
    </w:p>
    <w:p w14:paraId="394A239D" w14:textId="6662EB41" w:rsidR="0009415F" w:rsidRDefault="0009415F" w:rsidP="004376FA">
      <w:pPr>
        <w:pStyle w:val="Indent1"/>
        <w:keepNext/>
        <w:numPr>
          <w:ilvl w:val="0"/>
          <w:numId w:val="21"/>
        </w:numPr>
        <w:ind w:left="720"/>
      </w:pPr>
      <w:r w:rsidRPr="00551239">
        <w:rPr>
          <w:b/>
        </w:rPr>
        <w:t>Contractor payment</w:t>
      </w:r>
      <w:r w:rsidR="00D90181">
        <w:rPr>
          <w:b/>
        </w:rPr>
        <w:t>.</w:t>
      </w:r>
      <w:r>
        <w:t xml:space="preserve"> When the ratio MPPI/BPI is calculated to be greater than 1.10, the Contractor is due additional payment as follows:</w:t>
      </w:r>
    </w:p>
    <w:p w14:paraId="6C4507E9" w14:textId="77777777" w:rsidR="0009415F" w:rsidRDefault="0009415F" w:rsidP="004376FA">
      <w:pPr>
        <w:pStyle w:val="Indent3"/>
      </w:pPr>
      <w:r>
        <w:t>Contractor Payment = (MPPI/BPI – 1.10) (BPI) (Q)</w:t>
      </w:r>
    </w:p>
    <w:p w14:paraId="2F4D7998" w14:textId="77777777" w:rsidR="0009415F" w:rsidRDefault="0009415F" w:rsidP="004376FA">
      <w:pPr>
        <w:pStyle w:val="Indent2"/>
      </w:pPr>
      <w:r>
        <w:t>where:</w:t>
      </w:r>
    </w:p>
    <w:p w14:paraId="4A3E911D" w14:textId="77777777" w:rsidR="0009415F" w:rsidRDefault="0009415F" w:rsidP="00D90181">
      <w:pPr>
        <w:pStyle w:val="Indent3"/>
      </w:pPr>
      <w:r>
        <w:t>Q = Table 109-</w:t>
      </w:r>
      <w:r w:rsidR="00272ABA">
        <w:t>1</w:t>
      </w:r>
      <w:r>
        <w:t xml:space="preserve"> pay item quantity (tons or metric tons) x ((% Asphalt Binder/100) – (% RAP/100 x % asphalt binder in RAP/100)</w:t>
      </w:r>
      <w:proofErr w:type="gramStart"/>
      <w:r>
        <w:t>);</w:t>
      </w:r>
      <w:proofErr w:type="gramEnd"/>
    </w:p>
    <w:p w14:paraId="5D51D7A8" w14:textId="77777777" w:rsidR="0009415F" w:rsidRDefault="0009415F" w:rsidP="00D90181">
      <w:pPr>
        <w:pStyle w:val="Indent3"/>
      </w:pPr>
      <w:r>
        <w:t xml:space="preserve">% Asphalt Binder = % Binder by Mass of Total Mix from the approved job-mix </w:t>
      </w:r>
      <w:proofErr w:type="gramStart"/>
      <w:r>
        <w:t>formula;</w:t>
      </w:r>
      <w:proofErr w:type="gramEnd"/>
    </w:p>
    <w:p w14:paraId="27CB24DF" w14:textId="77777777" w:rsidR="0009415F" w:rsidRDefault="0009415F" w:rsidP="00D90181">
      <w:pPr>
        <w:pStyle w:val="Indent3"/>
      </w:pPr>
      <w:r>
        <w:t>% RAP = percent recycled asphalt pavement from the approved job-mix formula; and</w:t>
      </w:r>
    </w:p>
    <w:p w14:paraId="37523483" w14:textId="77777777" w:rsidR="00E03886" w:rsidRDefault="0009415F" w:rsidP="00D90181">
      <w:pPr>
        <w:pStyle w:val="Indent3"/>
      </w:pPr>
      <w:r>
        <w:t>% asphalt binder in RAP = percent of asphalt binder in recycled asphalt pavement from the approved job-mix formula.</w:t>
      </w:r>
    </w:p>
    <w:p w14:paraId="67B55397" w14:textId="77777777" w:rsidR="00635C1E" w:rsidRDefault="00635C1E" w:rsidP="00104066">
      <w:pPr>
        <w:pStyle w:val="Indent1"/>
      </w:pPr>
      <w:r>
        <w:t>When calculating the payment or rebate, the Government will round each portion of the calculation to two decimal places.</w:t>
      </w:r>
    </w:p>
    <w:p w14:paraId="3254A511" w14:textId="77DF52B7" w:rsidR="0009415F" w:rsidRPr="004376FA" w:rsidRDefault="004376FA" w:rsidP="004376FA">
      <w:pPr>
        <w:pStyle w:val="Directions"/>
        <w:rPr>
          <w:rStyle w:val="DirectionsInfo"/>
        </w:rPr>
      </w:pPr>
      <w:r w:rsidRPr="004376FA">
        <w:rPr>
          <w:rStyle w:val="DirectionsInfo"/>
        </w:rPr>
        <w:lastRenderedPageBreak/>
        <w:t xml:space="preserve">WFL Specification </w:t>
      </w:r>
      <w:r w:rsidR="0013068D">
        <w:rPr>
          <w:rStyle w:val="DirectionsInfo"/>
        </w:rPr>
        <w:t>01 APR 2024</w:t>
      </w:r>
      <w:r w:rsidR="00B8524B">
        <w:rPr>
          <w:rStyle w:val="DirectionsInfo"/>
        </w:rPr>
        <w:tab/>
        <w:t>1090100</w:t>
      </w:r>
    </w:p>
    <w:p w14:paraId="744D5583" w14:textId="77777777" w:rsidR="001E117B" w:rsidRDefault="001E117B" w:rsidP="004376FA">
      <w:pPr>
        <w:pStyle w:val="Directions"/>
      </w:pPr>
      <w:r>
        <w:t>Include the following on projects that contain an adjustment for fuel price fluctuation.</w:t>
      </w:r>
    </w:p>
    <w:p w14:paraId="55D688B6" w14:textId="77777777" w:rsidR="001E117B" w:rsidRDefault="001E117B" w:rsidP="004376FA">
      <w:pPr>
        <w:pStyle w:val="Directions"/>
      </w:pPr>
    </w:p>
    <w:p w14:paraId="22478D5A" w14:textId="0E6F405E" w:rsidR="0009415F" w:rsidRDefault="0009415F" w:rsidP="004376FA">
      <w:pPr>
        <w:pStyle w:val="Directions"/>
      </w:pPr>
      <w:r>
        <w:t>For nearest city to project</w:t>
      </w:r>
      <w:r w:rsidR="0007583D">
        <w:t>, remove highlight and</w:t>
      </w:r>
      <w:r>
        <w:t xml:space="preserve"> </w:t>
      </w:r>
      <w:r w:rsidR="007155DA">
        <w:t xml:space="preserve">select </w:t>
      </w:r>
      <w:r w:rsidR="00F45773">
        <w:t>from the following</w:t>
      </w:r>
      <w:r w:rsidR="0007583D">
        <w:t xml:space="preserve"> cities</w:t>
      </w:r>
      <w:r w:rsidR="00F45773">
        <w:t xml:space="preserve">: </w:t>
      </w:r>
      <w:r w:rsidR="007155DA">
        <w:t>Seattle, WA</w:t>
      </w:r>
      <w:r w:rsidR="00F45773">
        <w:t>;</w:t>
      </w:r>
      <w:r w:rsidR="007155DA">
        <w:t xml:space="preserve"> Portland, OR</w:t>
      </w:r>
      <w:r w:rsidR="00F45773">
        <w:t>;</w:t>
      </w:r>
      <w:r w:rsidR="007155DA">
        <w:t xml:space="preserve"> </w:t>
      </w:r>
      <w:r w:rsidR="00F45773">
        <w:t>Spokane, WA;</w:t>
      </w:r>
      <w:r w:rsidR="007155DA">
        <w:t xml:space="preserve"> </w:t>
      </w:r>
      <w:r w:rsidR="00F45773">
        <w:t>Boise, ID;</w:t>
      </w:r>
      <w:r w:rsidR="007155DA">
        <w:t xml:space="preserve"> Missoula, MT</w:t>
      </w:r>
      <w:r w:rsidR="00F45773">
        <w:t>;</w:t>
      </w:r>
      <w:r w:rsidR="007155DA">
        <w:t xml:space="preserve"> Bozeman, </w:t>
      </w:r>
      <w:proofErr w:type="gramStart"/>
      <w:r w:rsidR="007155DA">
        <w:t>MT</w:t>
      </w:r>
      <w:r w:rsidR="00F45773">
        <w:t>;</w:t>
      </w:r>
      <w:r w:rsidR="007155DA">
        <w:t xml:space="preserve">  Great</w:t>
      </w:r>
      <w:proofErr w:type="gramEnd"/>
      <w:r w:rsidR="007155DA">
        <w:t xml:space="preserve"> Falls, MT</w:t>
      </w:r>
      <w:r w:rsidR="00DB4BF6">
        <w:t>, or Anchorage, AK</w:t>
      </w:r>
      <w:r>
        <w:t>.</w:t>
      </w:r>
    </w:p>
    <w:p w14:paraId="2E068A5E" w14:textId="22ECA804" w:rsidR="0009415F" w:rsidRDefault="0009415F" w:rsidP="00A53459">
      <w:pPr>
        <w:pStyle w:val="Indent1"/>
      </w:pPr>
      <w:r w:rsidRPr="004376FA">
        <w:rPr>
          <w:b/>
        </w:rPr>
        <w:t>(b) Fuel Price Adjustment.</w:t>
      </w:r>
      <w:r w:rsidR="00417682">
        <w:rPr>
          <w:b/>
        </w:rPr>
        <w:t xml:space="preserve"> </w:t>
      </w:r>
      <w:r>
        <w:t>The Government will determine price indexes for fuel using price data obtained from the Oil Price Information Service (OPIS) which publishes a daily report (Monday through Friday) on gasoline and distillate reseller prices.</w:t>
      </w:r>
      <w:r w:rsidR="00417682">
        <w:t xml:space="preserve"> </w:t>
      </w:r>
      <w:r>
        <w:t xml:space="preserve">Gross No. 2 Distillate rack average price data for Ultra Low Sulfur No. 2 Diesel fuel reported for </w:t>
      </w:r>
      <w:r w:rsidRPr="00E217EA">
        <w:rPr>
          <w:highlight w:val="yellow"/>
        </w:rPr>
        <w:t xml:space="preserve">[INSERT THE </w:t>
      </w:r>
      <w:r w:rsidR="00677554" w:rsidRPr="00E217EA">
        <w:rPr>
          <w:highlight w:val="yellow"/>
        </w:rPr>
        <w:t>NEAREST</w:t>
      </w:r>
      <w:r w:rsidRPr="00E217EA">
        <w:rPr>
          <w:highlight w:val="yellow"/>
        </w:rPr>
        <w:t xml:space="preserve"> CITY</w:t>
      </w:r>
      <w:r>
        <w:t>] will be averaged and used to establish a Base Price Index (BPI) and a Monthly Performance Price Index (MPPI).</w:t>
      </w:r>
      <w:r w:rsidR="00417682">
        <w:t xml:space="preserve"> </w:t>
      </w:r>
      <w:r>
        <w:t>These indexes are defined as follows:</w:t>
      </w:r>
    </w:p>
    <w:p w14:paraId="4BF6F55D" w14:textId="49D84BB2" w:rsidR="0009415F" w:rsidRDefault="0009415F" w:rsidP="004376FA">
      <w:pPr>
        <w:pStyle w:val="Indent2"/>
      </w:pPr>
      <w:r w:rsidRPr="004376FA">
        <w:rPr>
          <w:b/>
        </w:rPr>
        <w:t>(1) Base Price Index.</w:t>
      </w:r>
      <w:r w:rsidR="00417682">
        <w:t xml:space="preserve"> </w:t>
      </w:r>
      <w:r>
        <w:t>The BPI is a price index determined by the arithmetic average as specified above, reported in the OPIS publications for the four weeks immediately preceding the bid opening.</w:t>
      </w:r>
    </w:p>
    <w:p w14:paraId="5C2FD9FC" w14:textId="77777777" w:rsidR="0009415F" w:rsidRDefault="0009415F" w:rsidP="004376FA">
      <w:pPr>
        <w:pStyle w:val="Indent3"/>
      </w:pPr>
      <w:r>
        <w:t xml:space="preserve">BPI </w:t>
      </w:r>
      <w:r w:rsidRPr="004376FA">
        <w:rPr>
          <w:vertAlign w:val="subscript"/>
        </w:rPr>
        <w:t>(LOW SULFUR, NO. 2 DIESEL FUEL)</w:t>
      </w:r>
      <w:r>
        <w:t xml:space="preserve"> = $ </w:t>
      </w:r>
      <w:r w:rsidRPr="0030194A">
        <w:rPr>
          <w:color w:val="FF0000"/>
        </w:rPr>
        <w:t>[PRICE TO BE INSERTED AT AWARD]</w:t>
      </w:r>
      <w:r>
        <w:t xml:space="preserve"> per U.S. gallon</w:t>
      </w:r>
    </w:p>
    <w:p w14:paraId="32CA7349" w14:textId="3320A7F7" w:rsidR="0009415F" w:rsidRDefault="0009415F" w:rsidP="004376FA">
      <w:pPr>
        <w:pStyle w:val="Indent2"/>
      </w:pPr>
      <w:r w:rsidRPr="004376FA">
        <w:rPr>
          <w:b/>
        </w:rPr>
        <w:t>(2) Monthly Performance Price Index.</w:t>
      </w:r>
      <w:r w:rsidR="00417682">
        <w:t xml:space="preserve"> </w:t>
      </w:r>
      <w:r>
        <w:t>The MPPI is the arithmetic average of the weekly price data from OPIS publications issued before the last Wednesday of the month in which the work was performed.</w:t>
      </w:r>
    </w:p>
    <w:p w14:paraId="1BB59016" w14:textId="77777777" w:rsidR="0009415F" w:rsidRDefault="0009415F" w:rsidP="004376FA">
      <w:pPr>
        <w:pStyle w:val="Indent2"/>
      </w:pPr>
      <w:r>
        <w:t>The BPI and MPPI will be posted at:</w:t>
      </w:r>
    </w:p>
    <w:p w14:paraId="1F656A4B" w14:textId="77777777" w:rsidR="0063098D" w:rsidRDefault="00000000" w:rsidP="00417682">
      <w:pPr>
        <w:pStyle w:val="Indent3"/>
      </w:pPr>
      <w:hyperlink r:id="rId14" w:history="1">
        <w:r w:rsidR="0007005A" w:rsidRPr="00AC2116">
          <w:rPr>
            <w:rStyle w:val="Hyperlink"/>
          </w:rPr>
          <w:t>https://highways.dot.gov/federal-lands/business/escalation-factors-wfl</w:t>
        </w:r>
      </w:hyperlink>
      <w:r w:rsidR="0063098D">
        <w:t>/</w:t>
      </w:r>
      <w:r w:rsidR="00436E09">
        <w:t>.</w:t>
      </w:r>
    </w:p>
    <w:p w14:paraId="10AB91F8" w14:textId="77777777" w:rsidR="0009415F" w:rsidRDefault="0009415F" w:rsidP="004376FA">
      <w:pPr>
        <w:pStyle w:val="Indent1"/>
      </w:pPr>
      <w:r>
        <w:t>Price adjustments to fuel will be calculated by the Government using a ratio of the MPPI/BPI to determine price adjustments as follows:</w:t>
      </w:r>
    </w:p>
    <w:p w14:paraId="210B9EF4" w14:textId="706B8C21" w:rsidR="004376FA" w:rsidRDefault="0009415F" w:rsidP="0009415F">
      <w:pPr>
        <w:pStyle w:val="Indent2"/>
        <w:numPr>
          <w:ilvl w:val="0"/>
          <w:numId w:val="21"/>
        </w:numPr>
        <w:ind w:left="720"/>
      </w:pPr>
      <w:r w:rsidRPr="00A53459">
        <w:rPr>
          <w:b/>
        </w:rPr>
        <w:t>No price adjustment</w:t>
      </w:r>
      <w:r w:rsidR="00160070">
        <w:rPr>
          <w:b/>
        </w:rPr>
        <w:t>.</w:t>
      </w:r>
      <w:r>
        <w:t xml:space="preserve"> When the ratio MPPI/BPI falls within the range of 0.90 to 1.10, no price adjustment will be made for fuel used in construction work performed during the relevant month.</w:t>
      </w:r>
    </w:p>
    <w:p w14:paraId="55DDB189" w14:textId="2B9D2196" w:rsidR="0009415F" w:rsidRDefault="0009415F" w:rsidP="000A5F09">
      <w:pPr>
        <w:pStyle w:val="Indent2"/>
        <w:keepNext/>
        <w:numPr>
          <w:ilvl w:val="0"/>
          <w:numId w:val="21"/>
        </w:numPr>
        <w:ind w:left="720"/>
      </w:pPr>
      <w:r w:rsidRPr="00A53459">
        <w:rPr>
          <w:b/>
        </w:rPr>
        <w:t>Government rebate</w:t>
      </w:r>
      <w:r w:rsidR="00160070">
        <w:t>.</w:t>
      </w:r>
      <w:r>
        <w:t xml:space="preserve"> When the ratio MPPI/BPI is calculated to be less than 0.90, the Government is due a rebate as follows:</w:t>
      </w:r>
    </w:p>
    <w:p w14:paraId="34F0A5C5" w14:textId="77777777" w:rsidR="0009415F" w:rsidRDefault="0009415F" w:rsidP="004376FA">
      <w:pPr>
        <w:pStyle w:val="Indent3"/>
      </w:pPr>
      <w:r>
        <w:t>Government Rebate = (0.90 – MPPI/BPI) (BPI) (Q) (FUF)</w:t>
      </w:r>
    </w:p>
    <w:p w14:paraId="0F14379C" w14:textId="6B45D27F" w:rsidR="004376FA" w:rsidRDefault="004376FA" w:rsidP="004376FA">
      <w:pPr>
        <w:pStyle w:val="Indent2"/>
        <w:keepNext/>
        <w:numPr>
          <w:ilvl w:val="0"/>
          <w:numId w:val="21"/>
        </w:numPr>
        <w:ind w:left="720"/>
      </w:pPr>
      <w:r w:rsidRPr="00A53459">
        <w:rPr>
          <w:b/>
        </w:rPr>
        <w:t>Contractor payment</w:t>
      </w:r>
      <w:r w:rsidR="00160070">
        <w:t>.</w:t>
      </w:r>
      <w:r>
        <w:t xml:space="preserve"> When the ratio MPPI/BPI is calculated to be greater than 1.10, the Contractor is due additional payment as follows:</w:t>
      </w:r>
    </w:p>
    <w:p w14:paraId="15A60243" w14:textId="77777777" w:rsidR="0009415F" w:rsidRDefault="0009415F" w:rsidP="004376FA">
      <w:pPr>
        <w:pStyle w:val="Indent3"/>
      </w:pPr>
      <w:r>
        <w:t>Contractor Payment = (MPPI/BPI – 1.10) (BPI) (Q) (FUF)</w:t>
      </w:r>
    </w:p>
    <w:p w14:paraId="1CB18CB9" w14:textId="77777777" w:rsidR="0009415F" w:rsidRDefault="0009415F" w:rsidP="004376FA">
      <w:pPr>
        <w:pStyle w:val="Indent2"/>
      </w:pPr>
      <w:r>
        <w:t>where:</w:t>
      </w:r>
    </w:p>
    <w:p w14:paraId="62705A84" w14:textId="77777777" w:rsidR="0009415F" w:rsidRDefault="0009415F" w:rsidP="00084423">
      <w:pPr>
        <w:pStyle w:val="Indent3"/>
      </w:pPr>
      <w:r>
        <w:lastRenderedPageBreak/>
        <w:t>Q = Quantity of work on the project during the progress payment period for pay items shown in Table 109-</w:t>
      </w:r>
      <w:r w:rsidR="006D1056">
        <w:t>1</w:t>
      </w:r>
      <w:r w:rsidR="00417682">
        <w:t>; and</w:t>
      </w:r>
    </w:p>
    <w:p w14:paraId="0B4D5478" w14:textId="77777777" w:rsidR="00530DA4" w:rsidRDefault="0009415F" w:rsidP="00084423">
      <w:pPr>
        <w:pStyle w:val="Indent3"/>
      </w:pPr>
      <w:r>
        <w:t>FUF = Fuel Usage Factor shown in Table 109-2.</w:t>
      </w:r>
    </w:p>
    <w:p w14:paraId="30AE4341" w14:textId="77777777" w:rsidR="00635C1E" w:rsidRDefault="00635C1E" w:rsidP="000A5F09">
      <w:pPr>
        <w:pStyle w:val="Indent1"/>
      </w:pPr>
      <w:r>
        <w:t>When calculating the payment or rebate, the Government will round each portion of the calculation to two decimal places.</w:t>
      </w:r>
    </w:p>
    <w:p w14:paraId="2856EF47" w14:textId="636BE428" w:rsidR="0009415F" w:rsidRPr="00E03886" w:rsidRDefault="004376FA">
      <w:pPr>
        <w:pStyle w:val="Directions"/>
        <w:rPr>
          <w:rStyle w:val="DirectionsInfo"/>
          <w:rFonts w:ascii="Times New Roman" w:hAnsi="Times New Roman" w:cs="Times New Roman"/>
          <w:b w:val="0"/>
          <w:bCs w:val="0"/>
        </w:rPr>
      </w:pPr>
      <w:r w:rsidRPr="003C69D2">
        <w:rPr>
          <w:rStyle w:val="DirectionsInfo"/>
        </w:rPr>
        <w:t xml:space="preserve">WFL Specification </w:t>
      </w:r>
      <w:r w:rsidR="0013068D">
        <w:rPr>
          <w:rStyle w:val="DirectionsInfo"/>
        </w:rPr>
        <w:t>01 APR 2024</w:t>
      </w:r>
      <w:r w:rsidR="00B8524B">
        <w:rPr>
          <w:rStyle w:val="DirectionsInfo"/>
        </w:rPr>
        <w:tab/>
        <w:t>1090110</w:t>
      </w:r>
    </w:p>
    <w:p w14:paraId="2A264864" w14:textId="77777777" w:rsidR="001E117B" w:rsidRDefault="001E117B">
      <w:pPr>
        <w:pStyle w:val="Directions"/>
      </w:pPr>
      <w:r>
        <w:t>Include the following on projects that contain an adjustment for fuel price fluctuation.</w:t>
      </w:r>
    </w:p>
    <w:p w14:paraId="19B3F6C0" w14:textId="77777777" w:rsidR="001E117B" w:rsidRDefault="001E117B">
      <w:pPr>
        <w:pStyle w:val="Directions"/>
      </w:pPr>
    </w:p>
    <w:p w14:paraId="280DF619" w14:textId="77777777" w:rsidR="0009415F" w:rsidRPr="003C69D2" w:rsidRDefault="0009415F">
      <w:pPr>
        <w:pStyle w:val="Directions"/>
      </w:pPr>
      <w:r w:rsidRPr="003C69D2">
        <w:t>Note: Pay items listed in Table 109-2 are examples of work requiring fuel with prices that may fluctuate. Add or delete pay items as required. Include required fuel adjustment pay items in Table 109-1.</w:t>
      </w:r>
    </w:p>
    <w:p w14:paraId="3AA6E876" w14:textId="77777777" w:rsidR="0009415F" w:rsidRPr="003C69D2" w:rsidRDefault="0009415F">
      <w:pPr>
        <w:pStyle w:val="Directions"/>
      </w:pPr>
      <w:r w:rsidRPr="003C69D2">
        <w:t xml:space="preserve">Note: </w:t>
      </w:r>
      <w:r w:rsidR="00767FAD">
        <w:t>Include f</w:t>
      </w:r>
      <w:r w:rsidRPr="003C69D2">
        <w:t xml:space="preserve">ootnote (1) </w:t>
      </w:r>
      <w:r w:rsidR="00CF1E29">
        <w:t xml:space="preserve">for </w:t>
      </w:r>
      <w:r w:rsidRPr="003C69D2">
        <w:t xml:space="preserve">pay items that </w:t>
      </w:r>
      <w:r w:rsidR="00CF1E29">
        <w:t>are</w:t>
      </w:r>
      <w:r w:rsidRPr="003C69D2">
        <w:t xml:space="preserve"> not </w:t>
      </w:r>
      <w:r w:rsidR="00CF1E29">
        <w:t xml:space="preserve">measured </w:t>
      </w:r>
      <w:r w:rsidRPr="003C69D2">
        <w:t>in the same unit as the fuel usage factor.</w:t>
      </w:r>
    </w:p>
    <w:p w14:paraId="3030C65E" w14:textId="77777777" w:rsidR="0009415F" w:rsidRPr="00A27275" w:rsidRDefault="0009415F" w:rsidP="004376FA">
      <w:pPr>
        <w:pStyle w:val="Caption"/>
        <w:rPr>
          <w:szCs w:val="24"/>
        </w:rPr>
      </w:pPr>
      <w:r w:rsidRPr="00A27275">
        <w:rPr>
          <w:szCs w:val="24"/>
        </w:rPr>
        <w:t>Table 109-2</w:t>
      </w:r>
    </w:p>
    <w:p w14:paraId="5A36D345" w14:textId="77777777" w:rsidR="0009415F" w:rsidRPr="00A27275" w:rsidRDefault="0009415F" w:rsidP="004376FA">
      <w:pPr>
        <w:pStyle w:val="Caption"/>
        <w:rPr>
          <w:szCs w:val="24"/>
        </w:rPr>
      </w:pPr>
      <w:r w:rsidRPr="00A27275">
        <w:rPr>
          <w:szCs w:val="24"/>
        </w:rPr>
        <w:t>Fuel Usage Factors</w:t>
      </w:r>
    </w:p>
    <w:tbl>
      <w:tblPr>
        <w:tblStyle w:val="TableSCR"/>
        <w:tblW w:w="9360" w:type="dxa"/>
        <w:tblLook w:val="04A0" w:firstRow="1" w:lastRow="0" w:firstColumn="1" w:lastColumn="0" w:noHBand="0" w:noVBand="1"/>
      </w:tblPr>
      <w:tblGrid>
        <w:gridCol w:w="6480"/>
        <w:gridCol w:w="2880"/>
      </w:tblGrid>
      <w:tr w:rsidR="004376FA" w:rsidRPr="00A27275" w14:paraId="72936C8B" w14:textId="77777777" w:rsidTr="00E9054A">
        <w:trPr>
          <w:cnfStyle w:val="100000000000" w:firstRow="1" w:lastRow="0" w:firstColumn="0" w:lastColumn="0" w:oddVBand="0" w:evenVBand="0" w:oddHBand="0" w:evenHBand="0" w:firstRowFirstColumn="0" w:firstRowLastColumn="0" w:lastRowFirstColumn="0" w:lastRowLastColumn="0"/>
          <w:tblHeader/>
        </w:trPr>
        <w:tc>
          <w:tcPr>
            <w:tcW w:w="6480" w:type="dxa"/>
          </w:tcPr>
          <w:p w14:paraId="0453F714" w14:textId="77777777" w:rsidR="004376FA" w:rsidRPr="00094B4C" w:rsidRDefault="004376FA" w:rsidP="004376FA">
            <w:r w:rsidRPr="00094B4C">
              <w:t>Pay Items</w:t>
            </w:r>
          </w:p>
        </w:tc>
        <w:tc>
          <w:tcPr>
            <w:tcW w:w="2880" w:type="dxa"/>
          </w:tcPr>
          <w:p w14:paraId="243A7B28" w14:textId="77777777" w:rsidR="004376FA" w:rsidRPr="00094B4C" w:rsidRDefault="004376FA" w:rsidP="004376FA">
            <w:r w:rsidRPr="00094B4C">
              <w:t xml:space="preserve">Fuel Usage </w:t>
            </w:r>
            <w:proofErr w:type="gramStart"/>
            <w:r w:rsidRPr="00094B4C">
              <w:t>Factor</w:t>
            </w:r>
            <w:r w:rsidRPr="00094B4C">
              <w:rPr>
                <w:vertAlign w:val="superscript"/>
              </w:rPr>
              <w:t>(</w:t>
            </w:r>
            <w:proofErr w:type="gramEnd"/>
            <w:r w:rsidRPr="00094B4C">
              <w:rPr>
                <w:vertAlign w:val="superscript"/>
              </w:rPr>
              <w:t>2)</w:t>
            </w:r>
          </w:p>
        </w:tc>
      </w:tr>
      <w:tr w:rsidR="004376FA" w:rsidRPr="00A27275" w14:paraId="5C3E859A" w14:textId="77777777" w:rsidTr="00E9054A">
        <w:tc>
          <w:tcPr>
            <w:tcW w:w="6480" w:type="dxa"/>
          </w:tcPr>
          <w:p w14:paraId="1CB8077C" w14:textId="77777777" w:rsidR="004376FA" w:rsidRPr="00094B4C" w:rsidRDefault="004376FA" w:rsidP="00E9054A">
            <w:pPr>
              <w:pStyle w:val="Table109-2SubHeading"/>
              <w:jc w:val="left"/>
              <w:rPr>
                <w:sz w:val="24"/>
              </w:rPr>
            </w:pPr>
            <w:r w:rsidRPr="00094B4C">
              <w:rPr>
                <w:sz w:val="24"/>
              </w:rPr>
              <w:t>Section 204 – Excavation and Embankment</w:t>
            </w:r>
          </w:p>
          <w:p w14:paraId="5B03E49B" w14:textId="77777777" w:rsidR="004376FA" w:rsidRPr="00094B4C" w:rsidRDefault="004376FA" w:rsidP="00E9054A">
            <w:pPr>
              <w:pStyle w:val="Table109-2Item"/>
              <w:jc w:val="left"/>
              <w:rPr>
                <w:sz w:val="24"/>
              </w:rPr>
            </w:pPr>
            <w:r w:rsidRPr="00094B4C">
              <w:rPr>
                <w:sz w:val="24"/>
              </w:rPr>
              <w:t>20401 Roadway excavation</w:t>
            </w:r>
          </w:p>
          <w:p w14:paraId="3F65EFDE" w14:textId="77777777" w:rsidR="004376FA" w:rsidRPr="00094B4C" w:rsidRDefault="004376FA" w:rsidP="00E9054A">
            <w:pPr>
              <w:pStyle w:val="Table109-2Item"/>
              <w:jc w:val="left"/>
              <w:rPr>
                <w:sz w:val="24"/>
              </w:rPr>
            </w:pPr>
            <w:r w:rsidRPr="00094B4C">
              <w:rPr>
                <w:sz w:val="24"/>
              </w:rPr>
              <w:t>20402 Subexcavation</w:t>
            </w:r>
          </w:p>
          <w:p w14:paraId="44AFDE28" w14:textId="77777777" w:rsidR="004376FA" w:rsidRPr="00094B4C" w:rsidRDefault="004376FA" w:rsidP="00E9054A">
            <w:pPr>
              <w:pStyle w:val="Table109-2Item"/>
              <w:jc w:val="left"/>
              <w:rPr>
                <w:sz w:val="24"/>
              </w:rPr>
            </w:pPr>
            <w:r w:rsidRPr="00094B4C">
              <w:rPr>
                <w:sz w:val="24"/>
              </w:rPr>
              <w:t xml:space="preserve">20403 Unclassified </w:t>
            </w:r>
            <w:proofErr w:type="gramStart"/>
            <w:r w:rsidRPr="00094B4C">
              <w:rPr>
                <w:sz w:val="24"/>
              </w:rPr>
              <w:t>borrow</w:t>
            </w:r>
            <w:proofErr w:type="gramEnd"/>
          </w:p>
          <w:p w14:paraId="29EA7B73" w14:textId="77777777" w:rsidR="004376FA" w:rsidRPr="00094B4C" w:rsidRDefault="004376FA" w:rsidP="00E9054A">
            <w:pPr>
              <w:pStyle w:val="Table109-2Item"/>
              <w:jc w:val="left"/>
              <w:rPr>
                <w:sz w:val="24"/>
              </w:rPr>
            </w:pPr>
            <w:r w:rsidRPr="00094B4C">
              <w:rPr>
                <w:sz w:val="24"/>
              </w:rPr>
              <w:t>20420 Embankment construction</w:t>
            </w:r>
          </w:p>
          <w:p w14:paraId="238EB93B" w14:textId="77777777" w:rsidR="004376FA" w:rsidRPr="00094B4C" w:rsidRDefault="004376FA" w:rsidP="00E9054A">
            <w:pPr>
              <w:pStyle w:val="Table109-2Item"/>
              <w:jc w:val="left"/>
              <w:rPr>
                <w:sz w:val="24"/>
              </w:rPr>
            </w:pPr>
            <w:r w:rsidRPr="00094B4C">
              <w:rPr>
                <w:sz w:val="24"/>
              </w:rPr>
              <w:t>20421 Rock excavation</w:t>
            </w:r>
          </w:p>
        </w:tc>
        <w:tc>
          <w:tcPr>
            <w:tcW w:w="2880" w:type="dxa"/>
          </w:tcPr>
          <w:p w14:paraId="3564C6BB" w14:textId="77777777" w:rsidR="004376FA" w:rsidRPr="00A27275" w:rsidRDefault="004376FA" w:rsidP="004376FA">
            <w:r w:rsidRPr="00A27275">
              <w:t>0.30 gallons/yard</w:t>
            </w:r>
            <w:r w:rsidRPr="00A27275">
              <w:rPr>
                <w:vertAlign w:val="superscript"/>
              </w:rPr>
              <w:t>3</w:t>
            </w:r>
          </w:p>
          <w:p w14:paraId="127CE3DE" w14:textId="77777777" w:rsidR="004376FA" w:rsidRPr="00A27275" w:rsidRDefault="004376FA" w:rsidP="00894AA6"/>
        </w:tc>
      </w:tr>
      <w:tr w:rsidR="004376FA" w:rsidRPr="00A27275" w14:paraId="0E8935ED" w14:textId="77777777" w:rsidTr="00E9054A">
        <w:tc>
          <w:tcPr>
            <w:tcW w:w="6480" w:type="dxa"/>
          </w:tcPr>
          <w:p w14:paraId="6598497F" w14:textId="77777777" w:rsidR="004376FA" w:rsidRPr="00351CB3" w:rsidRDefault="004376FA" w:rsidP="00E9054A">
            <w:pPr>
              <w:pStyle w:val="Table109-2SubHeading"/>
              <w:jc w:val="left"/>
              <w:rPr>
                <w:sz w:val="24"/>
              </w:rPr>
            </w:pPr>
            <w:r w:rsidRPr="00351CB3">
              <w:rPr>
                <w:sz w:val="24"/>
              </w:rPr>
              <w:t>Section 204 – Excavation and Embankment</w:t>
            </w:r>
          </w:p>
          <w:p w14:paraId="1E488433" w14:textId="77777777" w:rsidR="004376FA" w:rsidRPr="00351CB3" w:rsidRDefault="004376FA" w:rsidP="00E9054A">
            <w:pPr>
              <w:pStyle w:val="Table109-2Item"/>
              <w:jc w:val="left"/>
              <w:rPr>
                <w:sz w:val="24"/>
              </w:rPr>
            </w:pPr>
            <w:r w:rsidRPr="00351CB3">
              <w:rPr>
                <w:sz w:val="24"/>
              </w:rPr>
              <w:t xml:space="preserve">20410 Select </w:t>
            </w:r>
            <w:proofErr w:type="gramStart"/>
            <w:r w:rsidRPr="00351CB3">
              <w:rPr>
                <w:sz w:val="24"/>
              </w:rPr>
              <w:t>borrow</w:t>
            </w:r>
            <w:r w:rsidRPr="00351CB3">
              <w:rPr>
                <w:sz w:val="24"/>
                <w:vertAlign w:val="superscript"/>
              </w:rPr>
              <w:t>(</w:t>
            </w:r>
            <w:proofErr w:type="gramEnd"/>
            <w:r w:rsidRPr="00351CB3">
              <w:rPr>
                <w:sz w:val="24"/>
                <w:vertAlign w:val="superscript"/>
              </w:rPr>
              <w:t>1)</w:t>
            </w:r>
          </w:p>
          <w:p w14:paraId="1C5ABD90" w14:textId="249BF8AB" w:rsidR="004376FA" w:rsidRPr="00351CB3" w:rsidRDefault="004376FA" w:rsidP="0013068D">
            <w:pPr>
              <w:pStyle w:val="Table109-2Item"/>
              <w:jc w:val="left"/>
              <w:rPr>
                <w:b/>
                <w:sz w:val="24"/>
              </w:rPr>
            </w:pPr>
            <w:r w:rsidRPr="00351CB3">
              <w:rPr>
                <w:sz w:val="24"/>
              </w:rPr>
              <w:t>20411 Select borrow</w:t>
            </w:r>
          </w:p>
        </w:tc>
        <w:tc>
          <w:tcPr>
            <w:tcW w:w="2880" w:type="dxa"/>
          </w:tcPr>
          <w:p w14:paraId="602710B5" w14:textId="77777777" w:rsidR="004376FA" w:rsidRPr="00A27275" w:rsidRDefault="004376FA" w:rsidP="004376FA">
            <w:r w:rsidRPr="00A27275">
              <w:t>0.70 gallons/ton</w:t>
            </w:r>
          </w:p>
          <w:p w14:paraId="2E0EF2E6" w14:textId="77777777" w:rsidR="004376FA" w:rsidRPr="00A27275" w:rsidRDefault="004376FA" w:rsidP="00894AA6"/>
        </w:tc>
      </w:tr>
      <w:tr w:rsidR="00E9054A" w:rsidRPr="00A27275" w14:paraId="6E193D42" w14:textId="77777777" w:rsidTr="00E9054A">
        <w:tc>
          <w:tcPr>
            <w:tcW w:w="6480" w:type="dxa"/>
          </w:tcPr>
          <w:p w14:paraId="40E68CCE" w14:textId="77777777" w:rsidR="004376FA" w:rsidRPr="00351CB3" w:rsidRDefault="004376FA" w:rsidP="00E9054A">
            <w:pPr>
              <w:pStyle w:val="Table109-2SubHeading"/>
              <w:jc w:val="left"/>
              <w:rPr>
                <w:sz w:val="24"/>
              </w:rPr>
            </w:pPr>
            <w:r w:rsidRPr="00351CB3">
              <w:rPr>
                <w:sz w:val="24"/>
              </w:rPr>
              <w:t>Section 301 – Untreated Aggregate Courses</w:t>
            </w:r>
          </w:p>
          <w:p w14:paraId="67B48E27" w14:textId="77777777" w:rsidR="004376FA" w:rsidRPr="00351CB3" w:rsidRDefault="004376FA" w:rsidP="00E9054A">
            <w:pPr>
              <w:pStyle w:val="Table109-2Item"/>
              <w:jc w:val="left"/>
              <w:rPr>
                <w:sz w:val="24"/>
              </w:rPr>
            </w:pPr>
            <w:r w:rsidRPr="00351CB3">
              <w:rPr>
                <w:sz w:val="24"/>
              </w:rPr>
              <w:t>30101 Aggregate base</w:t>
            </w:r>
          </w:p>
          <w:p w14:paraId="14BE6DC6" w14:textId="77777777" w:rsidR="004376FA" w:rsidRPr="00351CB3" w:rsidRDefault="004376FA" w:rsidP="00E9054A">
            <w:pPr>
              <w:pStyle w:val="Table109-2Item"/>
              <w:jc w:val="left"/>
              <w:rPr>
                <w:sz w:val="24"/>
              </w:rPr>
            </w:pPr>
            <w:r w:rsidRPr="00351CB3">
              <w:rPr>
                <w:sz w:val="24"/>
              </w:rPr>
              <w:t xml:space="preserve">30102 Aggregate </w:t>
            </w:r>
            <w:proofErr w:type="gramStart"/>
            <w:r w:rsidRPr="00351CB3">
              <w:rPr>
                <w:sz w:val="24"/>
              </w:rPr>
              <w:t>base</w:t>
            </w:r>
            <w:r w:rsidRPr="00351CB3">
              <w:rPr>
                <w:sz w:val="24"/>
                <w:vertAlign w:val="superscript"/>
              </w:rPr>
              <w:t>(</w:t>
            </w:r>
            <w:proofErr w:type="gramEnd"/>
            <w:r w:rsidRPr="00351CB3">
              <w:rPr>
                <w:sz w:val="24"/>
                <w:vertAlign w:val="superscript"/>
              </w:rPr>
              <w:t>1)</w:t>
            </w:r>
          </w:p>
          <w:p w14:paraId="68860537" w14:textId="77777777" w:rsidR="004376FA" w:rsidRPr="00351CB3" w:rsidRDefault="004376FA" w:rsidP="00E9054A">
            <w:pPr>
              <w:pStyle w:val="Table109-2Item"/>
              <w:jc w:val="left"/>
              <w:rPr>
                <w:sz w:val="24"/>
              </w:rPr>
            </w:pPr>
            <w:r w:rsidRPr="00351CB3">
              <w:rPr>
                <w:sz w:val="24"/>
              </w:rPr>
              <w:t xml:space="preserve">30103 Aggregate </w:t>
            </w:r>
            <w:proofErr w:type="gramStart"/>
            <w:r w:rsidRPr="00351CB3">
              <w:rPr>
                <w:sz w:val="24"/>
              </w:rPr>
              <w:t>base</w:t>
            </w:r>
            <w:r w:rsidRPr="00351CB3">
              <w:rPr>
                <w:sz w:val="24"/>
                <w:vertAlign w:val="superscript"/>
              </w:rPr>
              <w:t>(</w:t>
            </w:r>
            <w:proofErr w:type="gramEnd"/>
            <w:r w:rsidRPr="00351CB3">
              <w:rPr>
                <w:sz w:val="24"/>
                <w:vertAlign w:val="superscript"/>
              </w:rPr>
              <w:t>1)</w:t>
            </w:r>
          </w:p>
          <w:p w14:paraId="78830956" w14:textId="77777777" w:rsidR="004376FA" w:rsidRPr="00351CB3" w:rsidRDefault="004376FA" w:rsidP="00E9054A">
            <w:pPr>
              <w:pStyle w:val="Table109-2Item"/>
              <w:jc w:val="left"/>
              <w:rPr>
                <w:sz w:val="24"/>
              </w:rPr>
            </w:pPr>
            <w:r w:rsidRPr="00351CB3">
              <w:rPr>
                <w:sz w:val="24"/>
              </w:rPr>
              <w:t>30105 Subbase</w:t>
            </w:r>
          </w:p>
          <w:p w14:paraId="560A19D5" w14:textId="77777777" w:rsidR="004376FA" w:rsidRPr="00351CB3" w:rsidRDefault="004376FA" w:rsidP="00E9054A">
            <w:pPr>
              <w:pStyle w:val="Table109-2Item"/>
              <w:jc w:val="left"/>
              <w:rPr>
                <w:sz w:val="24"/>
              </w:rPr>
            </w:pPr>
            <w:r w:rsidRPr="00351CB3">
              <w:rPr>
                <w:sz w:val="24"/>
              </w:rPr>
              <w:t xml:space="preserve">30106 </w:t>
            </w:r>
            <w:proofErr w:type="gramStart"/>
            <w:r w:rsidRPr="00351CB3">
              <w:rPr>
                <w:sz w:val="24"/>
              </w:rPr>
              <w:t>Subbase</w:t>
            </w:r>
            <w:r w:rsidRPr="00351CB3">
              <w:rPr>
                <w:sz w:val="24"/>
                <w:vertAlign w:val="superscript"/>
              </w:rPr>
              <w:t>(</w:t>
            </w:r>
            <w:proofErr w:type="gramEnd"/>
            <w:r w:rsidRPr="00351CB3">
              <w:rPr>
                <w:sz w:val="24"/>
                <w:vertAlign w:val="superscript"/>
              </w:rPr>
              <w:t>1)</w:t>
            </w:r>
          </w:p>
          <w:p w14:paraId="5C8DE84E" w14:textId="77777777" w:rsidR="004376FA" w:rsidRPr="00351CB3" w:rsidRDefault="004376FA" w:rsidP="00E9054A">
            <w:pPr>
              <w:pStyle w:val="Table109-2Item"/>
              <w:jc w:val="left"/>
              <w:rPr>
                <w:sz w:val="24"/>
              </w:rPr>
            </w:pPr>
            <w:r w:rsidRPr="00351CB3">
              <w:rPr>
                <w:sz w:val="24"/>
              </w:rPr>
              <w:t xml:space="preserve">30107 </w:t>
            </w:r>
            <w:proofErr w:type="gramStart"/>
            <w:r w:rsidRPr="00351CB3">
              <w:rPr>
                <w:sz w:val="24"/>
              </w:rPr>
              <w:t>Subbase</w:t>
            </w:r>
            <w:r w:rsidRPr="00351CB3">
              <w:rPr>
                <w:sz w:val="24"/>
                <w:vertAlign w:val="superscript"/>
              </w:rPr>
              <w:t>(</w:t>
            </w:r>
            <w:proofErr w:type="gramEnd"/>
            <w:r w:rsidRPr="00351CB3">
              <w:rPr>
                <w:sz w:val="24"/>
                <w:vertAlign w:val="superscript"/>
              </w:rPr>
              <w:t>1)</w:t>
            </w:r>
          </w:p>
          <w:p w14:paraId="4B15CFB4" w14:textId="77777777" w:rsidR="004376FA" w:rsidRPr="00351CB3" w:rsidRDefault="004376FA" w:rsidP="00E9054A">
            <w:pPr>
              <w:pStyle w:val="Table109-2Item"/>
              <w:jc w:val="left"/>
              <w:rPr>
                <w:sz w:val="24"/>
              </w:rPr>
            </w:pPr>
            <w:r w:rsidRPr="00351CB3">
              <w:rPr>
                <w:sz w:val="24"/>
              </w:rPr>
              <w:t>30110 Aggregate Surface Course</w:t>
            </w:r>
          </w:p>
          <w:p w14:paraId="1ECDFE4A" w14:textId="77777777" w:rsidR="004376FA" w:rsidRPr="00351CB3" w:rsidRDefault="004376FA" w:rsidP="00E9054A">
            <w:pPr>
              <w:pStyle w:val="Table109-2Item"/>
              <w:jc w:val="left"/>
              <w:rPr>
                <w:sz w:val="24"/>
              </w:rPr>
            </w:pPr>
            <w:r w:rsidRPr="00351CB3">
              <w:rPr>
                <w:sz w:val="24"/>
              </w:rPr>
              <w:t xml:space="preserve">30111 Aggregate Surface </w:t>
            </w:r>
            <w:proofErr w:type="gramStart"/>
            <w:r w:rsidRPr="00351CB3">
              <w:rPr>
                <w:sz w:val="24"/>
              </w:rPr>
              <w:t>Course</w:t>
            </w:r>
            <w:r w:rsidRPr="00351CB3">
              <w:rPr>
                <w:sz w:val="24"/>
                <w:vertAlign w:val="superscript"/>
              </w:rPr>
              <w:t>(</w:t>
            </w:r>
            <w:proofErr w:type="gramEnd"/>
            <w:r w:rsidRPr="00351CB3">
              <w:rPr>
                <w:sz w:val="24"/>
                <w:vertAlign w:val="superscript"/>
              </w:rPr>
              <w:t>1)</w:t>
            </w:r>
          </w:p>
        </w:tc>
        <w:tc>
          <w:tcPr>
            <w:tcW w:w="2880" w:type="dxa"/>
          </w:tcPr>
          <w:p w14:paraId="5FA124D0" w14:textId="77777777" w:rsidR="004376FA" w:rsidRPr="00A27275" w:rsidRDefault="004376FA" w:rsidP="004376FA">
            <w:r w:rsidRPr="00A27275">
              <w:t>0.70 gallons/ton</w:t>
            </w:r>
          </w:p>
          <w:p w14:paraId="440E27CA" w14:textId="27F82BB6" w:rsidR="004376FA" w:rsidRPr="00A27275" w:rsidRDefault="004376FA" w:rsidP="004376FA"/>
        </w:tc>
      </w:tr>
      <w:tr w:rsidR="00E9054A" w:rsidRPr="00A27275" w14:paraId="4DD19476" w14:textId="77777777" w:rsidTr="00E9054A">
        <w:tc>
          <w:tcPr>
            <w:tcW w:w="6480" w:type="dxa"/>
          </w:tcPr>
          <w:p w14:paraId="594FF4C0" w14:textId="48E31700" w:rsidR="004376FA" w:rsidRPr="00351CB3" w:rsidRDefault="004376FA" w:rsidP="00E9054A">
            <w:pPr>
              <w:pStyle w:val="Table109-2SubHeading"/>
              <w:jc w:val="left"/>
              <w:rPr>
                <w:sz w:val="24"/>
              </w:rPr>
            </w:pPr>
            <w:r w:rsidRPr="00351CB3">
              <w:rPr>
                <w:sz w:val="24"/>
              </w:rPr>
              <w:t xml:space="preserve">Section 302 – </w:t>
            </w:r>
            <w:r w:rsidR="005C4CE1" w:rsidRPr="00351CB3">
              <w:rPr>
                <w:sz w:val="24"/>
              </w:rPr>
              <w:t>Crushed</w:t>
            </w:r>
            <w:r w:rsidR="00977C66" w:rsidRPr="00351CB3">
              <w:rPr>
                <w:sz w:val="24"/>
              </w:rPr>
              <w:t xml:space="preserve"> Aggregate</w:t>
            </w:r>
          </w:p>
          <w:p w14:paraId="6B6D599E" w14:textId="77777777" w:rsidR="004376FA" w:rsidRPr="00351CB3" w:rsidRDefault="004376FA" w:rsidP="00E9054A">
            <w:pPr>
              <w:pStyle w:val="Table109-2Item"/>
              <w:jc w:val="left"/>
              <w:rPr>
                <w:sz w:val="24"/>
              </w:rPr>
            </w:pPr>
            <w:r w:rsidRPr="00351CB3">
              <w:rPr>
                <w:sz w:val="24"/>
              </w:rPr>
              <w:t xml:space="preserve">30201 </w:t>
            </w:r>
            <w:r w:rsidR="00977C66" w:rsidRPr="00351CB3">
              <w:rPr>
                <w:sz w:val="24"/>
              </w:rPr>
              <w:t>Roadway Aggregate</w:t>
            </w:r>
          </w:p>
          <w:p w14:paraId="5D13E381" w14:textId="77777777" w:rsidR="004376FA" w:rsidRPr="00351CB3" w:rsidRDefault="004376FA" w:rsidP="00E9054A">
            <w:pPr>
              <w:pStyle w:val="Table109-2Item"/>
              <w:jc w:val="left"/>
              <w:rPr>
                <w:sz w:val="24"/>
              </w:rPr>
            </w:pPr>
            <w:r w:rsidRPr="00351CB3">
              <w:rPr>
                <w:sz w:val="24"/>
              </w:rPr>
              <w:t xml:space="preserve">30202 </w:t>
            </w:r>
            <w:r w:rsidR="00977C66" w:rsidRPr="00351CB3">
              <w:rPr>
                <w:sz w:val="24"/>
              </w:rPr>
              <w:t xml:space="preserve">Roadway </w:t>
            </w:r>
            <w:proofErr w:type="gramStart"/>
            <w:r w:rsidR="00977C66" w:rsidRPr="00351CB3">
              <w:rPr>
                <w:sz w:val="24"/>
              </w:rPr>
              <w:t>Aggregate</w:t>
            </w:r>
            <w:r w:rsidRPr="00351CB3">
              <w:rPr>
                <w:sz w:val="24"/>
                <w:vertAlign w:val="superscript"/>
              </w:rPr>
              <w:t>(</w:t>
            </w:r>
            <w:proofErr w:type="gramEnd"/>
            <w:r w:rsidRPr="00351CB3">
              <w:rPr>
                <w:sz w:val="24"/>
                <w:vertAlign w:val="superscript"/>
              </w:rPr>
              <w:t>1)</w:t>
            </w:r>
          </w:p>
        </w:tc>
        <w:tc>
          <w:tcPr>
            <w:tcW w:w="2880" w:type="dxa"/>
          </w:tcPr>
          <w:p w14:paraId="5F0BB549" w14:textId="77777777" w:rsidR="004376FA" w:rsidRPr="00A27275" w:rsidRDefault="004376FA" w:rsidP="004376FA">
            <w:r w:rsidRPr="00A27275">
              <w:t>0.70 gallons/ton</w:t>
            </w:r>
          </w:p>
          <w:p w14:paraId="5F36A129" w14:textId="76B1A5A1" w:rsidR="004376FA" w:rsidRPr="00A27275" w:rsidRDefault="004376FA" w:rsidP="004376FA"/>
        </w:tc>
      </w:tr>
      <w:tr w:rsidR="000D33A1" w:rsidRPr="00A27275" w14:paraId="05F91BBE" w14:textId="77777777" w:rsidTr="00E9054A">
        <w:tc>
          <w:tcPr>
            <w:tcW w:w="6480" w:type="dxa"/>
          </w:tcPr>
          <w:p w14:paraId="7C39424A" w14:textId="10F879DC" w:rsidR="000D33A1" w:rsidRPr="00351CB3" w:rsidRDefault="000D33A1" w:rsidP="000D33A1">
            <w:pPr>
              <w:pStyle w:val="Table109-2SubHeading"/>
              <w:jc w:val="left"/>
              <w:rPr>
                <w:sz w:val="24"/>
              </w:rPr>
            </w:pPr>
            <w:r w:rsidRPr="00351CB3">
              <w:rPr>
                <w:sz w:val="24"/>
              </w:rPr>
              <w:lastRenderedPageBreak/>
              <w:t xml:space="preserve">Section 308 – </w:t>
            </w:r>
            <w:r w:rsidR="00050C2D" w:rsidRPr="00351CB3">
              <w:rPr>
                <w:sz w:val="24"/>
              </w:rPr>
              <w:t>Emuls</w:t>
            </w:r>
            <w:r w:rsidR="008269A5" w:rsidRPr="00351CB3">
              <w:rPr>
                <w:sz w:val="24"/>
              </w:rPr>
              <w:t>ified Asphalt Treated Base Course</w:t>
            </w:r>
          </w:p>
          <w:p w14:paraId="3BB0FF67" w14:textId="354CE018" w:rsidR="0043413B" w:rsidRPr="00351CB3" w:rsidRDefault="0043413B" w:rsidP="0043413B">
            <w:pPr>
              <w:pStyle w:val="Table109-2Item"/>
              <w:jc w:val="left"/>
              <w:rPr>
                <w:sz w:val="24"/>
              </w:rPr>
            </w:pPr>
            <w:r w:rsidRPr="00351CB3">
              <w:rPr>
                <w:sz w:val="24"/>
              </w:rPr>
              <w:t xml:space="preserve">30801 </w:t>
            </w:r>
            <w:r w:rsidR="001A209F" w:rsidRPr="00351CB3">
              <w:rPr>
                <w:sz w:val="24"/>
              </w:rPr>
              <w:t xml:space="preserve">Emulsified </w:t>
            </w:r>
            <w:proofErr w:type="gramStart"/>
            <w:r w:rsidR="001A209F" w:rsidRPr="00351CB3">
              <w:rPr>
                <w:sz w:val="24"/>
              </w:rPr>
              <w:t>asphalt</w:t>
            </w:r>
            <w:proofErr w:type="gramEnd"/>
            <w:r w:rsidR="001A209F" w:rsidRPr="00351CB3">
              <w:rPr>
                <w:sz w:val="24"/>
              </w:rPr>
              <w:t xml:space="preserve"> treated aggregate base</w:t>
            </w:r>
          </w:p>
          <w:p w14:paraId="1042E943" w14:textId="10F9E24B" w:rsidR="0043413B" w:rsidRPr="00351CB3" w:rsidRDefault="0043413B" w:rsidP="0043413B">
            <w:pPr>
              <w:pStyle w:val="Table109-2Item"/>
              <w:jc w:val="left"/>
              <w:rPr>
                <w:sz w:val="24"/>
              </w:rPr>
            </w:pPr>
            <w:r w:rsidRPr="00351CB3">
              <w:rPr>
                <w:sz w:val="24"/>
              </w:rPr>
              <w:t xml:space="preserve">30802 </w:t>
            </w:r>
            <w:r w:rsidR="001A209F" w:rsidRPr="00351CB3">
              <w:rPr>
                <w:sz w:val="24"/>
              </w:rPr>
              <w:t xml:space="preserve">Emulsified asphalt treated aggregate </w:t>
            </w:r>
            <w:proofErr w:type="gramStart"/>
            <w:r w:rsidR="001A209F" w:rsidRPr="00351CB3">
              <w:rPr>
                <w:sz w:val="24"/>
              </w:rPr>
              <w:t>base</w:t>
            </w:r>
            <w:r w:rsidR="001A209F" w:rsidRPr="00351CB3">
              <w:rPr>
                <w:sz w:val="24"/>
                <w:vertAlign w:val="superscript"/>
              </w:rPr>
              <w:t>(</w:t>
            </w:r>
            <w:proofErr w:type="gramEnd"/>
            <w:r w:rsidR="001A209F" w:rsidRPr="00351CB3">
              <w:rPr>
                <w:sz w:val="24"/>
                <w:vertAlign w:val="superscript"/>
              </w:rPr>
              <w:t>1)</w:t>
            </w:r>
          </w:p>
          <w:p w14:paraId="570A3B11" w14:textId="592A56A0" w:rsidR="000D33A1" w:rsidRPr="00351CB3" w:rsidRDefault="00D11D31" w:rsidP="00837370">
            <w:pPr>
              <w:pStyle w:val="Table109-2Item"/>
              <w:jc w:val="left"/>
              <w:rPr>
                <w:sz w:val="24"/>
              </w:rPr>
            </w:pPr>
            <w:r w:rsidRPr="00351CB3">
              <w:rPr>
                <w:sz w:val="24"/>
              </w:rPr>
              <w:t xml:space="preserve">30803 </w:t>
            </w:r>
            <w:r w:rsidR="001A209F" w:rsidRPr="00351CB3">
              <w:rPr>
                <w:sz w:val="24"/>
              </w:rPr>
              <w:t xml:space="preserve">Emulsified asphalt treated aggregate </w:t>
            </w:r>
            <w:proofErr w:type="gramStart"/>
            <w:r w:rsidR="001A209F" w:rsidRPr="00351CB3">
              <w:rPr>
                <w:sz w:val="24"/>
              </w:rPr>
              <w:t>base</w:t>
            </w:r>
            <w:r w:rsidR="001A209F" w:rsidRPr="00351CB3">
              <w:rPr>
                <w:sz w:val="24"/>
                <w:vertAlign w:val="superscript"/>
              </w:rPr>
              <w:t>(</w:t>
            </w:r>
            <w:proofErr w:type="gramEnd"/>
            <w:r w:rsidR="001A209F" w:rsidRPr="00351CB3">
              <w:rPr>
                <w:sz w:val="24"/>
                <w:vertAlign w:val="superscript"/>
              </w:rPr>
              <w:t>1)</w:t>
            </w:r>
          </w:p>
        </w:tc>
        <w:tc>
          <w:tcPr>
            <w:tcW w:w="2880" w:type="dxa"/>
          </w:tcPr>
          <w:p w14:paraId="3E88E0DB" w14:textId="77777777" w:rsidR="000D33A1" w:rsidRPr="00A27275" w:rsidRDefault="0043413B" w:rsidP="004376FA">
            <w:pPr>
              <w:rPr>
                <w:vertAlign w:val="superscript"/>
              </w:rPr>
            </w:pPr>
            <w:r w:rsidRPr="00A27275">
              <w:t>0.10 gal/yard</w:t>
            </w:r>
            <w:r w:rsidRPr="00A27275">
              <w:rPr>
                <w:vertAlign w:val="superscript"/>
              </w:rPr>
              <w:t>2</w:t>
            </w:r>
          </w:p>
          <w:p w14:paraId="2426F7B2" w14:textId="0A0279DB" w:rsidR="008A1662" w:rsidRPr="00A27275" w:rsidRDefault="008A1662" w:rsidP="004376FA"/>
        </w:tc>
      </w:tr>
      <w:tr w:rsidR="004376FA" w:rsidRPr="00A27275" w14:paraId="653CEABE" w14:textId="77777777" w:rsidTr="00E9054A">
        <w:tc>
          <w:tcPr>
            <w:tcW w:w="6480" w:type="dxa"/>
          </w:tcPr>
          <w:p w14:paraId="40AA04B7" w14:textId="3D2D25BD" w:rsidR="004376FA" w:rsidRPr="00351CB3" w:rsidRDefault="004376FA" w:rsidP="00E9054A">
            <w:pPr>
              <w:pStyle w:val="Table109-2SubHeading"/>
              <w:jc w:val="left"/>
              <w:rPr>
                <w:sz w:val="24"/>
              </w:rPr>
            </w:pPr>
            <w:r w:rsidRPr="00351CB3">
              <w:rPr>
                <w:sz w:val="24"/>
              </w:rPr>
              <w:t xml:space="preserve">Section 309 – </w:t>
            </w:r>
            <w:r w:rsidR="004D34BE" w:rsidRPr="00351CB3">
              <w:rPr>
                <w:sz w:val="24"/>
              </w:rPr>
              <w:t>Cold Recycled Asphalt Base Course</w:t>
            </w:r>
          </w:p>
          <w:p w14:paraId="5583BF44" w14:textId="1E3D83D9" w:rsidR="004376FA" w:rsidRPr="00351CB3" w:rsidRDefault="004376FA" w:rsidP="00E9054A">
            <w:pPr>
              <w:pStyle w:val="Table109-2Item"/>
              <w:jc w:val="left"/>
              <w:rPr>
                <w:sz w:val="24"/>
              </w:rPr>
            </w:pPr>
            <w:r w:rsidRPr="00351CB3">
              <w:rPr>
                <w:sz w:val="24"/>
              </w:rPr>
              <w:t xml:space="preserve">30901 </w:t>
            </w:r>
            <w:r w:rsidR="001602C9" w:rsidRPr="00351CB3">
              <w:rPr>
                <w:sz w:val="24"/>
              </w:rPr>
              <w:t xml:space="preserve">Cold </w:t>
            </w:r>
            <w:r w:rsidR="00C22D03" w:rsidRPr="00351CB3">
              <w:rPr>
                <w:sz w:val="24"/>
              </w:rPr>
              <w:t xml:space="preserve">recycled asphalt base </w:t>
            </w:r>
            <w:proofErr w:type="gramStart"/>
            <w:r w:rsidR="00C22D03" w:rsidRPr="00351CB3">
              <w:rPr>
                <w:sz w:val="24"/>
              </w:rPr>
              <w:t>course</w:t>
            </w:r>
            <w:proofErr w:type="gramEnd"/>
          </w:p>
          <w:p w14:paraId="3A4D64ED" w14:textId="67848B80" w:rsidR="004376FA" w:rsidRPr="00351CB3" w:rsidRDefault="004376FA" w:rsidP="00E9054A">
            <w:pPr>
              <w:pStyle w:val="Table109-2Item"/>
              <w:jc w:val="left"/>
              <w:rPr>
                <w:sz w:val="24"/>
              </w:rPr>
            </w:pPr>
            <w:r w:rsidRPr="00351CB3">
              <w:rPr>
                <w:sz w:val="24"/>
              </w:rPr>
              <w:t xml:space="preserve">30902 </w:t>
            </w:r>
            <w:r w:rsidR="00C22D03" w:rsidRPr="00351CB3">
              <w:rPr>
                <w:sz w:val="24"/>
              </w:rPr>
              <w:t xml:space="preserve">Cold recycled asphalt base </w:t>
            </w:r>
            <w:proofErr w:type="gramStart"/>
            <w:r w:rsidR="00C22D03" w:rsidRPr="00351CB3">
              <w:rPr>
                <w:sz w:val="24"/>
              </w:rPr>
              <w:t>course</w:t>
            </w:r>
            <w:r w:rsidR="007335AD" w:rsidRPr="00351CB3">
              <w:rPr>
                <w:sz w:val="24"/>
                <w:vertAlign w:val="superscript"/>
              </w:rPr>
              <w:t>(</w:t>
            </w:r>
            <w:proofErr w:type="gramEnd"/>
            <w:r w:rsidR="007335AD" w:rsidRPr="00351CB3">
              <w:rPr>
                <w:sz w:val="24"/>
                <w:vertAlign w:val="superscript"/>
              </w:rPr>
              <w:t>1)</w:t>
            </w:r>
            <w:r w:rsidRPr="00351CB3">
              <w:rPr>
                <w:sz w:val="24"/>
                <w:vertAlign w:val="superscript"/>
              </w:rPr>
              <w:t>)</w:t>
            </w:r>
          </w:p>
          <w:p w14:paraId="4625AE0A" w14:textId="746F4470" w:rsidR="004376FA" w:rsidRPr="00351CB3" w:rsidRDefault="004376FA" w:rsidP="00E9054A">
            <w:pPr>
              <w:pStyle w:val="Table109-2Item"/>
              <w:jc w:val="left"/>
              <w:rPr>
                <w:sz w:val="24"/>
              </w:rPr>
            </w:pPr>
            <w:r w:rsidRPr="00351CB3">
              <w:rPr>
                <w:sz w:val="24"/>
              </w:rPr>
              <w:t xml:space="preserve">30903 </w:t>
            </w:r>
            <w:r w:rsidR="00282085" w:rsidRPr="00351CB3">
              <w:rPr>
                <w:sz w:val="24"/>
              </w:rPr>
              <w:t xml:space="preserve">Cold recycled asphalt base </w:t>
            </w:r>
            <w:proofErr w:type="gramStart"/>
            <w:r w:rsidR="00282085" w:rsidRPr="00351CB3">
              <w:rPr>
                <w:sz w:val="24"/>
              </w:rPr>
              <w:t>course</w:t>
            </w:r>
            <w:r w:rsidR="00282085" w:rsidRPr="00351CB3">
              <w:rPr>
                <w:sz w:val="24"/>
                <w:vertAlign w:val="superscript"/>
              </w:rPr>
              <w:t>(</w:t>
            </w:r>
            <w:proofErr w:type="gramEnd"/>
            <w:r w:rsidR="00282085" w:rsidRPr="00351CB3">
              <w:rPr>
                <w:sz w:val="24"/>
                <w:vertAlign w:val="superscript"/>
              </w:rPr>
              <w:t>1)</w:t>
            </w:r>
          </w:p>
        </w:tc>
        <w:tc>
          <w:tcPr>
            <w:tcW w:w="2880" w:type="dxa"/>
          </w:tcPr>
          <w:p w14:paraId="2E929C96" w14:textId="77777777" w:rsidR="004376FA" w:rsidRPr="00A27275" w:rsidRDefault="004376FA" w:rsidP="004376FA">
            <w:r w:rsidRPr="00A27275">
              <w:t>0.70 gallons/ton</w:t>
            </w:r>
          </w:p>
          <w:p w14:paraId="498DEFFF" w14:textId="30A75372" w:rsidR="004376FA" w:rsidRPr="00A27275" w:rsidRDefault="004376FA" w:rsidP="004376FA"/>
        </w:tc>
      </w:tr>
      <w:tr w:rsidR="004376FA" w:rsidRPr="00A27275" w14:paraId="3753B0B2" w14:textId="77777777" w:rsidTr="00E9054A">
        <w:tc>
          <w:tcPr>
            <w:tcW w:w="6480" w:type="dxa"/>
          </w:tcPr>
          <w:p w14:paraId="6D066472" w14:textId="77777777" w:rsidR="004376FA" w:rsidRPr="00351CB3" w:rsidRDefault="004376FA" w:rsidP="00E9054A">
            <w:pPr>
              <w:pStyle w:val="Table109-2SubHeading"/>
              <w:jc w:val="left"/>
              <w:rPr>
                <w:sz w:val="24"/>
              </w:rPr>
            </w:pPr>
            <w:r w:rsidRPr="00351CB3">
              <w:rPr>
                <w:sz w:val="24"/>
              </w:rPr>
              <w:t xml:space="preserve">Section 310 – </w:t>
            </w:r>
            <w:r w:rsidR="00842E76" w:rsidRPr="00351CB3">
              <w:rPr>
                <w:sz w:val="24"/>
              </w:rPr>
              <w:t xml:space="preserve">Cold In-Place </w:t>
            </w:r>
            <w:r w:rsidRPr="00351CB3">
              <w:rPr>
                <w:sz w:val="24"/>
              </w:rPr>
              <w:t>Recycled A</w:t>
            </w:r>
            <w:r w:rsidR="00842E76" w:rsidRPr="00351CB3">
              <w:rPr>
                <w:sz w:val="24"/>
              </w:rPr>
              <w:t>sphalt Base</w:t>
            </w:r>
            <w:r w:rsidRPr="00351CB3">
              <w:rPr>
                <w:sz w:val="24"/>
              </w:rPr>
              <w:t xml:space="preserve"> Course</w:t>
            </w:r>
          </w:p>
          <w:p w14:paraId="2948590F" w14:textId="77777777" w:rsidR="004376FA" w:rsidRPr="00351CB3" w:rsidRDefault="004376FA" w:rsidP="00E9054A">
            <w:pPr>
              <w:pStyle w:val="Table109-2Item"/>
              <w:jc w:val="left"/>
              <w:rPr>
                <w:sz w:val="24"/>
              </w:rPr>
            </w:pPr>
            <w:r w:rsidRPr="00351CB3">
              <w:rPr>
                <w:sz w:val="24"/>
              </w:rPr>
              <w:t xml:space="preserve">31001 </w:t>
            </w:r>
            <w:r w:rsidR="009D246B" w:rsidRPr="00351CB3">
              <w:rPr>
                <w:sz w:val="24"/>
              </w:rPr>
              <w:t>Cold in-place r</w:t>
            </w:r>
            <w:r w:rsidRPr="00351CB3">
              <w:rPr>
                <w:sz w:val="24"/>
              </w:rPr>
              <w:t xml:space="preserve">ecycled </w:t>
            </w:r>
            <w:r w:rsidR="009D246B" w:rsidRPr="00351CB3">
              <w:rPr>
                <w:sz w:val="24"/>
              </w:rPr>
              <w:t>asphalt</w:t>
            </w:r>
            <w:r w:rsidRPr="00351CB3">
              <w:rPr>
                <w:sz w:val="24"/>
              </w:rPr>
              <w:t xml:space="preserve"> base</w:t>
            </w:r>
            <w:r w:rsidR="009D246B" w:rsidRPr="00351CB3">
              <w:rPr>
                <w:sz w:val="24"/>
              </w:rPr>
              <w:t xml:space="preserve"> </w:t>
            </w:r>
            <w:proofErr w:type="gramStart"/>
            <w:r w:rsidR="009D246B" w:rsidRPr="00351CB3">
              <w:rPr>
                <w:sz w:val="24"/>
              </w:rPr>
              <w:t>course</w:t>
            </w:r>
            <w:r w:rsidR="009D246B" w:rsidRPr="00351CB3">
              <w:rPr>
                <w:sz w:val="24"/>
                <w:vertAlign w:val="superscript"/>
              </w:rPr>
              <w:t>(</w:t>
            </w:r>
            <w:proofErr w:type="gramEnd"/>
            <w:r w:rsidR="009D246B" w:rsidRPr="00351CB3">
              <w:rPr>
                <w:sz w:val="24"/>
                <w:vertAlign w:val="superscript"/>
              </w:rPr>
              <w:t>1)</w:t>
            </w:r>
          </w:p>
          <w:p w14:paraId="578D60CD" w14:textId="77777777" w:rsidR="004376FA" w:rsidRPr="00351CB3" w:rsidRDefault="004376FA" w:rsidP="00E9054A">
            <w:pPr>
              <w:pStyle w:val="Table109-2Item"/>
              <w:jc w:val="left"/>
              <w:rPr>
                <w:sz w:val="24"/>
              </w:rPr>
            </w:pPr>
            <w:r w:rsidRPr="00351CB3">
              <w:rPr>
                <w:sz w:val="24"/>
              </w:rPr>
              <w:t xml:space="preserve">31002 </w:t>
            </w:r>
            <w:r w:rsidR="009D246B" w:rsidRPr="00351CB3">
              <w:rPr>
                <w:sz w:val="24"/>
              </w:rPr>
              <w:t>Cold in-place r</w:t>
            </w:r>
            <w:r w:rsidRPr="00351CB3">
              <w:rPr>
                <w:sz w:val="24"/>
              </w:rPr>
              <w:t xml:space="preserve">ecycled </w:t>
            </w:r>
            <w:r w:rsidR="009D246B" w:rsidRPr="00351CB3">
              <w:rPr>
                <w:sz w:val="24"/>
              </w:rPr>
              <w:t>asphalt</w:t>
            </w:r>
            <w:r w:rsidRPr="00351CB3">
              <w:rPr>
                <w:sz w:val="24"/>
              </w:rPr>
              <w:t xml:space="preserve"> base</w:t>
            </w:r>
            <w:r w:rsidR="003A1555" w:rsidRPr="00351CB3">
              <w:rPr>
                <w:sz w:val="24"/>
              </w:rPr>
              <w:t xml:space="preserve"> course</w:t>
            </w:r>
          </w:p>
        </w:tc>
        <w:tc>
          <w:tcPr>
            <w:tcW w:w="2880" w:type="dxa"/>
          </w:tcPr>
          <w:p w14:paraId="65C775D5" w14:textId="77777777" w:rsidR="004376FA" w:rsidRPr="00A27275" w:rsidRDefault="00842E76" w:rsidP="004376FA">
            <w:r w:rsidRPr="00A27275">
              <w:t>0.15</w:t>
            </w:r>
            <w:r w:rsidR="004376FA" w:rsidRPr="00A27275">
              <w:t xml:space="preserve"> gallons/ yard</w:t>
            </w:r>
            <w:r w:rsidR="004376FA" w:rsidRPr="00A27275">
              <w:rPr>
                <w:vertAlign w:val="superscript"/>
              </w:rPr>
              <w:t>2</w:t>
            </w:r>
          </w:p>
          <w:p w14:paraId="176FCE8D" w14:textId="77777777" w:rsidR="004376FA" w:rsidRPr="00A27275" w:rsidRDefault="004376FA" w:rsidP="00894AA6"/>
        </w:tc>
      </w:tr>
      <w:tr w:rsidR="00FC458F" w:rsidRPr="00A27275" w14:paraId="518C7C84" w14:textId="77777777" w:rsidTr="00E9054A">
        <w:tc>
          <w:tcPr>
            <w:tcW w:w="6480" w:type="dxa"/>
          </w:tcPr>
          <w:p w14:paraId="20AE5C5B" w14:textId="77777777" w:rsidR="00FC458F" w:rsidRPr="00351CB3" w:rsidRDefault="00FC458F" w:rsidP="006B60AF">
            <w:pPr>
              <w:pStyle w:val="Table109-2SubHeading"/>
              <w:jc w:val="left"/>
              <w:rPr>
                <w:sz w:val="24"/>
              </w:rPr>
            </w:pPr>
            <w:r w:rsidRPr="00351CB3">
              <w:rPr>
                <w:sz w:val="24"/>
              </w:rPr>
              <w:t>Section 311 – Stabilized Aggregate Surface Course</w:t>
            </w:r>
          </w:p>
          <w:p w14:paraId="5C19D1AB" w14:textId="6BA17F49" w:rsidR="00FC458F" w:rsidRPr="00351CB3" w:rsidRDefault="00FC458F" w:rsidP="006B60AF">
            <w:pPr>
              <w:pStyle w:val="Table109-2Item"/>
              <w:jc w:val="left"/>
              <w:rPr>
                <w:sz w:val="24"/>
                <w:vertAlign w:val="superscript"/>
              </w:rPr>
            </w:pPr>
            <w:r w:rsidRPr="00351CB3">
              <w:rPr>
                <w:sz w:val="24"/>
              </w:rPr>
              <w:t xml:space="preserve">31101 </w:t>
            </w:r>
            <w:r w:rsidR="006B60AF" w:rsidRPr="00351CB3">
              <w:rPr>
                <w:sz w:val="24"/>
              </w:rPr>
              <w:t xml:space="preserve">Stabilized aggregate surface </w:t>
            </w:r>
            <w:proofErr w:type="gramStart"/>
            <w:r w:rsidR="006B60AF" w:rsidRPr="00351CB3">
              <w:rPr>
                <w:sz w:val="24"/>
              </w:rPr>
              <w:t>course</w:t>
            </w:r>
            <w:r w:rsidR="006B60AF" w:rsidRPr="00351CB3">
              <w:rPr>
                <w:sz w:val="24"/>
                <w:vertAlign w:val="superscript"/>
              </w:rPr>
              <w:t>(</w:t>
            </w:r>
            <w:proofErr w:type="gramEnd"/>
            <w:r w:rsidR="006B60AF" w:rsidRPr="00351CB3">
              <w:rPr>
                <w:sz w:val="24"/>
                <w:vertAlign w:val="superscript"/>
              </w:rPr>
              <w:t>1)</w:t>
            </w:r>
          </w:p>
          <w:p w14:paraId="658D7951" w14:textId="77777777" w:rsidR="006B60AF" w:rsidRPr="00351CB3" w:rsidRDefault="006B60AF" w:rsidP="006B60AF">
            <w:pPr>
              <w:pStyle w:val="Table109-2Item"/>
              <w:jc w:val="left"/>
              <w:rPr>
                <w:sz w:val="24"/>
                <w:vertAlign w:val="superscript"/>
              </w:rPr>
            </w:pPr>
            <w:r w:rsidRPr="00351CB3">
              <w:rPr>
                <w:sz w:val="24"/>
              </w:rPr>
              <w:t xml:space="preserve">31101 Stabilized aggregate surface course, in-place </w:t>
            </w:r>
            <w:proofErr w:type="gramStart"/>
            <w:r w:rsidRPr="00351CB3">
              <w:rPr>
                <w:sz w:val="24"/>
              </w:rPr>
              <w:t>aggregate</w:t>
            </w:r>
            <w:r w:rsidRPr="00351CB3">
              <w:rPr>
                <w:sz w:val="24"/>
                <w:vertAlign w:val="superscript"/>
              </w:rPr>
              <w:t>(</w:t>
            </w:r>
            <w:proofErr w:type="gramEnd"/>
            <w:r w:rsidRPr="00351CB3">
              <w:rPr>
                <w:sz w:val="24"/>
                <w:vertAlign w:val="superscript"/>
              </w:rPr>
              <w:t>1)</w:t>
            </w:r>
          </w:p>
          <w:p w14:paraId="7F73FD5A" w14:textId="2D9D0470" w:rsidR="006B60AF" w:rsidRPr="00351CB3" w:rsidRDefault="006B60AF" w:rsidP="006B60AF">
            <w:pPr>
              <w:pStyle w:val="Table109-2Item"/>
              <w:jc w:val="left"/>
              <w:rPr>
                <w:sz w:val="24"/>
                <w:vertAlign w:val="superscript"/>
              </w:rPr>
            </w:pPr>
            <w:r w:rsidRPr="00351CB3">
              <w:rPr>
                <w:sz w:val="24"/>
              </w:rPr>
              <w:t xml:space="preserve">31102 Stabilized aggregate surface </w:t>
            </w:r>
            <w:proofErr w:type="gramStart"/>
            <w:r w:rsidRPr="00351CB3">
              <w:rPr>
                <w:sz w:val="24"/>
              </w:rPr>
              <w:t>course</w:t>
            </w:r>
            <w:r w:rsidRPr="00351CB3">
              <w:rPr>
                <w:sz w:val="24"/>
                <w:vertAlign w:val="superscript"/>
              </w:rPr>
              <w:t>(</w:t>
            </w:r>
            <w:proofErr w:type="gramEnd"/>
            <w:r w:rsidRPr="00351CB3">
              <w:rPr>
                <w:sz w:val="24"/>
                <w:vertAlign w:val="superscript"/>
              </w:rPr>
              <w:t>1)</w:t>
            </w:r>
          </w:p>
          <w:p w14:paraId="1FCB593D" w14:textId="77777777" w:rsidR="006B60AF" w:rsidRPr="00351CB3" w:rsidRDefault="006B60AF" w:rsidP="006B60AF">
            <w:pPr>
              <w:pStyle w:val="Table109-2Item"/>
              <w:jc w:val="left"/>
              <w:rPr>
                <w:sz w:val="24"/>
                <w:vertAlign w:val="superscript"/>
              </w:rPr>
            </w:pPr>
            <w:r w:rsidRPr="00351CB3">
              <w:rPr>
                <w:sz w:val="24"/>
              </w:rPr>
              <w:t xml:space="preserve">31102 Stabilized aggregate surface course, in-place </w:t>
            </w:r>
            <w:proofErr w:type="gramStart"/>
            <w:r w:rsidRPr="00351CB3">
              <w:rPr>
                <w:sz w:val="24"/>
              </w:rPr>
              <w:t>aggregate</w:t>
            </w:r>
            <w:r w:rsidRPr="00351CB3">
              <w:rPr>
                <w:sz w:val="24"/>
                <w:vertAlign w:val="superscript"/>
              </w:rPr>
              <w:t>(</w:t>
            </w:r>
            <w:proofErr w:type="gramEnd"/>
            <w:r w:rsidRPr="00351CB3">
              <w:rPr>
                <w:sz w:val="24"/>
                <w:vertAlign w:val="superscript"/>
              </w:rPr>
              <w:t>1)</w:t>
            </w:r>
          </w:p>
          <w:p w14:paraId="572B303B" w14:textId="7BC00C55" w:rsidR="006B60AF" w:rsidRPr="00351CB3" w:rsidRDefault="006B60AF" w:rsidP="006B60AF">
            <w:pPr>
              <w:pStyle w:val="Table109-2Item"/>
              <w:jc w:val="left"/>
              <w:rPr>
                <w:sz w:val="24"/>
                <w:vertAlign w:val="superscript"/>
              </w:rPr>
            </w:pPr>
            <w:r w:rsidRPr="00351CB3">
              <w:rPr>
                <w:sz w:val="24"/>
              </w:rPr>
              <w:t xml:space="preserve">31103 Stabilized aggregate surface </w:t>
            </w:r>
            <w:proofErr w:type="gramStart"/>
            <w:r w:rsidRPr="00351CB3">
              <w:rPr>
                <w:sz w:val="24"/>
              </w:rPr>
              <w:t>course</w:t>
            </w:r>
            <w:proofErr w:type="gramEnd"/>
          </w:p>
        </w:tc>
        <w:tc>
          <w:tcPr>
            <w:tcW w:w="2880" w:type="dxa"/>
          </w:tcPr>
          <w:p w14:paraId="2EE634AE" w14:textId="77777777" w:rsidR="00FC458F" w:rsidRPr="00A27275" w:rsidRDefault="00FC458F" w:rsidP="004376FA">
            <w:r w:rsidRPr="00A27275">
              <w:t>0.70 gallons/ton</w:t>
            </w:r>
          </w:p>
          <w:p w14:paraId="507FCA9B" w14:textId="65F24859" w:rsidR="00FC458F" w:rsidRPr="00A27275" w:rsidRDefault="00FC458F" w:rsidP="004376FA"/>
        </w:tc>
      </w:tr>
      <w:tr w:rsidR="004376FA" w:rsidRPr="00A27275" w14:paraId="4A2B3F16" w14:textId="77777777" w:rsidTr="00E9054A">
        <w:tc>
          <w:tcPr>
            <w:tcW w:w="6480" w:type="dxa"/>
          </w:tcPr>
          <w:p w14:paraId="1591B67D" w14:textId="77777777" w:rsidR="004376FA" w:rsidRPr="00351CB3" w:rsidRDefault="004376FA" w:rsidP="00E9054A">
            <w:pPr>
              <w:pStyle w:val="Table109-2SubHeading"/>
              <w:jc w:val="left"/>
              <w:rPr>
                <w:sz w:val="24"/>
              </w:rPr>
            </w:pPr>
            <w:r w:rsidRPr="00351CB3">
              <w:rPr>
                <w:sz w:val="24"/>
              </w:rPr>
              <w:t>Section 401 – Asphalt Concrete Pavement</w:t>
            </w:r>
            <w:r w:rsidR="002F2B30" w:rsidRPr="00351CB3">
              <w:rPr>
                <w:sz w:val="24"/>
              </w:rPr>
              <w:t xml:space="preserve"> by Gyratory Mix Design Method</w:t>
            </w:r>
          </w:p>
          <w:p w14:paraId="1212876B" w14:textId="77777777" w:rsidR="004376FA" w:rsidRPr="00351CB3" w:rsidRDefault="004376FA" w:rsidP="00E9054A">
            <w:pPr>
              <w:pStyle w:val="Table109-2Item"/>
              <w:jc w:val="left"/>
              <w:rPr>
                <w:sz w:val="24"/>
              </w:rPr>
            </w:pPr>
            <w:r w:rsidRPr="00351CB3">
              <w:rPr>
                <w:sz w:val="24"/>
              </w:rPr>
              <w:t xml:space="preserve">40101 </w:t>
            </w:r>
            <w:r w:rsidR="008501C1" w:rsidRPr="00351CB3">
              <w:rPr>
                <w:sz w:val="24"/>
              </w:rPr>
              <w:t>Asphalt concrete</w:t>
            </w:r>
            <w:r w:rsidRPr="00351CB3">
              <w:rPr>
                <w:sz w:val="24"/>
              </w:rPr>
              <w:t xml:space="preserve"> pavement</w:t>
            </w:r>
            <w:r w:rsidR="008501C1" w:rsidRPr="00351CB3">
              <w:rPr>
                <w:sz w:val="24"/>
              </w:rPr>
              <w:t>, gyratory mix</w:t>
            </w:r>
          </w:p>
          <w:p w14:paraId="6BE1DB93" w14:textId="77777777" w:rsidR="004376FA" w:rsidRPr="00351CB3" w:rsidRDefault="004376FA" w:rsidP="00E9054A">
            <w:pPr>
              <w:pStyle w:val="Table109-2Item"/>
              <w:jc w:val="left"/>
              <w:rPr>
                <w:sz w:val="24"/>
              </w:rPr>
            </w:pPr>
            <w:r w:rsidRPr="00351CB3">
              <w:rPr>
                <w:sz w:val="24"/>
              </w:rPr>
              <w:t xml:space="preserve">40102 </w:t>
            </w:r>
            <w:r w:rsidR="008501C1" w:rsidRPr="00351CB3">
              <w:rPr>
                <w:sz w:val="24"/>
              </w:rPr>
              <w:t>Asphalt concrete</w:t>
            </w:r>
            <w:r w:rsidRPr="00351CB3">
              <w:rPr>
                <w:sz w:val="24"/>
              </w:rPr>
              <w:t xml:space="preserve"> pavement</w:t>
            </w:r>
            <w:r w:rsidR="008501C1" w:rsidRPr="00351CB3">
              <w:rPr>
                <w:sz w:val="24"/>
              </w:rPr>
              <w:t>, gyratory mix,</w:t>
            </w:r>
            <w:r w:rsidRPr="00351CB3">
              <w:rPr>
                <w:sz w:val="24"/>
              </w:rPr>
              <w:t xml:space="preserve"> </w:t>
            </w:r>
            <w:proofErr w:type="gramStart"/>
            <w:r w:rsidRPr="00351CB3">
              <w:rPr>
                <w:sz w:val="24"/>
              </w:rPr>
              <w:t>wedge</w:t>
            </w:r>
            <w:proofErr w:type="gramEnd"/>
            <w:r w:rsidRPr="00351CB3">
              <w:rPr>
                <w:sz w:val="24"/>
              </w:rPr>
              <w:t xml:space="preserve"> and leveling course</w:t>
            </w:r>
          </w:p>
        </w:tc>
        <w:tc>
          <w:tcPr>
            <w:tcW w:w="2880" w:type="dxa"/>
          </w:tcPr>
          <w:p w14:paraId="52B19016" w14:textId="77777777" w:rsidR="004376FA" w:rsidRPr="00A27275" w:rsidRDefault="004376FA" w:rsidP="004376FA">
            <w:r w:rsidRPr="00A27275">
              <w:t>2.40 gallons/ton</w:t>
            </w:r>
          </w:p>
          <w:p w14:paraId="00F1753C" w14:textId="1ACE6476" w:rsidR="004376FA" w:rsidRPr="00A27275" w:rsidRDefault="004376FA" w:rsidP="004376FA"/>
        </w:tc>
      </w:tr>
      <w:tr w:rsidR="004376FA" w:rsidRPr="00A27275" w14:paraId="07D47CEB" w14:textId="77777777" w:rsidTr="00E9054A">
        <w:tc>
          <w:tcPr>
            <w:tcW w:w="6480" w:type="dxa"/>
          </w:tcPr>
          <w:p w14:paraId="782002FC" w14:textId="77777777" w:rsidR="004376FA" w:rsidRPr="00351CB3" w:rsidRDefault="004376FA" w:rsidP="00E9054A">
            <w:pPr>
              <w:pStyle w:val="Table109-2SubHeading"/>
              <w:jc w:val="left"/>
              <w:rPr>
                <w:sz w:val="24"/>
              </w:rPr>
            </w:pPr>
            <w:r w:rsidRPr="00351CB3">
              <w:rPr>
                <w:sz w:val="24"/>
              </w:rPr>
              <w:t xml:space="preserve">Section 402 – Asphalt Concrete Pavement by </w:t>
            </w:r>
            <w:proofErr w:type="spellStart"/>
            <w:r w:rsidRPr="00351CB3">
              <w:rPr>
                <w:sz w:val="24"/>
              </w:rPr>
              <w:t>Hveem</w:t>
            </w:r>
            <w:proofErr w:type="spellEnd"/>
            <w:r w:rsidRPr="00351CB3">
              <w:rPr>
                <w:sz w:val="24"/>
              </w:rPr>
              <w:t xml:space="preserve"> or Marshall Mix Design Method</w:t>
            </w:r>
          </w:p>
          <w:p w14:paraId="7F1F7A99" w14:textId="77777777" w:rsidR="004376FA" w:rsidRPr="00351CB3" w:rsidRDefault="004376FA" w:rsidP="00E9054A">
            <w:pPr>
              <w:pStyle w:val="Table109-2Item"/>
              <w:jc w:val="left"/>
              <w:rPr>
                <w:sz w:val="24"/>
              </w:rPr>
            </w:pPr>
            <w:r w:rsidRPr="00351CB3">
              <w:rPr>
                <w:sz w:val="24"/>
              </w:rPr>
              <w:t xml:space="preserve">40201 </w:t>
            </w:r>
            <w:r w:rsidR="00760566" w:rsidRPr="00351CB3">
              <w:rPr>
                <w:sz w:val="24"/>
              </w:rPr>
              <w:t>A</w:t>
            </w:r>
            <w:r w:rsidRPr="00351CB3">
              <w:rPr>
                <w:sz w:val="24"/>
              </w:rPr>
              <w:t xml:space="preserve">sphalt concrete pavement, Marshall or </w:t>
            </w:r>
            <w:proofErr w:type="spellStart"/>
            <w:r w:rsidRPr="00351CB3">
              <w:rPr>
                <w:sz w:val="24"/>
              </w:rPr>
              <w:t>Hveem</w:t>
            </w:r>
            <w:proofErr w:type="spellEnd"/>
            <w:r w:rsidRPr="00351CB3">
              <w:rPr>
                <w:sz w:val="24"/>
              </w:rPr>
              <w:t xml:space="preserve"> </w:t>
            </w:r>
            <w:proofErr w:type="gramStart"/>
            <w:r w:rsidR="00760566" w:rsidRPr="00351CB3">
              <w:rPr>
                <w:sz w:val="24"/>
              </w:rPr>
              <w:t>mix</w:t>
            </w:r>
            <w:proofErr w:type="gramEnd"/>
          </w:p>
          <w:p w14:paraId="75AF45ED" w14:textId="77777777" w:rsidR="004376FA" w:rsidRPr="00351CB3" w:rsidRDefault="004376FA" w:rsidP="00E9054A">
            <w:pPr>
              <w:pStyle w:val="Table109-2Item"/>
              <w:jc w:val="left"/>
              <w:rPr>
                <w:sz w:val="24"/>
              </w:rPr>
            </w:pPr>
            <w:r w:rsidRPr="00351CB3">
              <w:rPr>
                <w:sz w:val="24"/>
              </w:rPr>
              <w:t xml:space="preserve">40202 </w:t>
            </w:r>
            <w:r w:rsidR="00760566" w:rsidRPr="00351CB3">
              <w:rPr>
                <w:sz w:val="24"/>
              </w:rPr>
              <w:t>A</w:t>
            </w:r>
            <w:r w:rsidRPr="00351CB3">
              <w:rPr>
                <w:sz w:val="24"/>
              </w:rPr>
              <w:t xml:space="preserve">sphalt concrete pavement, Marshall or </w:t>
            </w:r>
            <w:proofErr w:type="spellStart"/>
            <w:r w:rsidRPr="00351CB3">
              <w:rPr>
                <w:sz w:val="24"/>
              </w:rPr>
              <w:t>Hveem</w:t>
            </w:r>
            <w:proofErr w:type="spellEnd"/>
            <w:r w:rsidRPr="00351CB3">
              <w:rPr>
                <w:sz w:val="24"/>
              </w:rPr>
              <w:t xml:space="preserve"> </w:t>
            </w:r>
            <w:r w:rsidR="00760566" w:rsidRPr="00351CB3">
              <w:rPr>
                <w:sz w:val="24"/>
              </w:rPr>
              <w:t>mix</w:t>
            </w:r>
            <w:r w:rsidRPr="00351CB3">
              <w:rPr>
                <w:sz w:val="24"/>
              </w:rPr>
              <w:t xml:space="preserve">, </w:t>
            </w:r>
            <w:proofErr w:type="gramStart"/>
            <w:r w:rsidRPr="00351CB3">
              <w:rPr>
                <w:sz w:val="24"/>
              </w:rPr>
              <w:t>wedge</w:t>
            </w:r>
            <w:proofErr w:type="gramEnd"/>
            <w:r w:rsidRPr="00351CB3">
              <w:rPr>
                <w:sz w:val="24"/>
              </w:rPr>
              <w:t xml:space="preserve"> and leveling course</w:t>
            </w:r>
          </w:p>
        </w:tc>
        <w:tc>
          <w:tcPr>
            <w:tcW w:w="2880" w:type="dxa"/>
          </w:tcPr>
          <w:p w14:paraId="601A8929" w14:textId="77777777" w:rsidR="004376FA" w:rsidRPr="00A27275" w:rsidRDefault="004376FA" w:rsidP="004376FA">
            <w:r w:rsidRPr="00A27275">
              <w:t>2.40 gallons/ton</w:t>
            </w:r>
          </w:p>
          <w:p w14:paraId="750CD1AB" w14:textId="7AF0CC72" w:rsidR="004376FA" w:rsidRPr="00A27275" w:rsidRDefault="004376FA" w:rsidP="004376FA"/>
        </w:tc>
      </w:tr>
      <w:tr w:rsidR="004376FA" w:rsidRPr="00A27275" w14:paraId="086B079B" w14:textId="77777777" w:rsidTr="00E9054A">
        <w:tc>
          <w:tcPr>
            <w:tcW w:w="6480" w:type="dxa"/>
          </w:tcPr>
          <w:p w14:paraId="7DC8F725" w14:textId="77777777" w:rsidR="004376FA" w:rsidRPr="00351CB3" w:rsidRDefault="004376FA" w:rsidP="00E9054A">
            <w:pPr>
              <w:pStyle w:val="Table109-2SubHeading"/>
              <w:jc w:val="left"/>
              <w:rPr>
                <w:sz w:val="24"/>
              </w:rPr>
            </w:pPr>
            <w:r w:rsidRPr="00351CB3">
              <w:rPr>
                <w:sz w:val="24"/>
              </w:rPr>
              <w:t>Section 403 – Asphalt Concrete</w:t>
            </w:r>
          </w:p>
          <w:p w14:paraId="21BE33FD" w14:textId="77777777" w:rsidR="00100F3C" w:rsidRPr="00351CB3" w:rsidRDefault="004376FA" w:rsidP="00E9054A">
            <w:pPr>
              <w:pStyle w:val="Table109-2Item"/>
              <w:jc w:val="left"/>
              <w:rPr>
                <w:sz w:val="24"/>
              </w:rPr>
            </w:pPr>
            <w:r w:rsidRPr="00351CB3">
              <w:rPr>
                <w:sz w:val="24"/>
              </w:rPr>
              <w:t xml:space="preserve">40301 </w:t>
            </w:r>
            <w:r w:rsidR="00100F3C" w:rsidRPr="00351CB3">
              <w:rPr>
                <w:sz w:val="24"/>
              </w:rPr>
              <w:t>A</w:t>
            </w:r>
            <w:r w:rsidRPr="00351CB3">
              <w:rPr>
                <w:sz w:val="24"/>
              </w:rPr>
              <w:t>sphalt concrete pavement</w:t>
            </w:r>
          </w:p>
          <w:p w14:paraId="18DD39F8" w14:textId="77777777" w:rsidR="00100F3C" w:rsidRPr="00351CB3" w:rsidRDefault="004376FA" w:rsidP="00100F3C">
            <w:pPr>
              <w:pStyle w:val="Table109-2Item"/>
              <w:jc w:val="left"/>
              <w:rPr>
                <w:sz w:val="24"/>
              </w:rPr>
            </w:pPr>
            <w:r w:rsidRPr="00351CB3">
              <w:rPr>
                <w:sz w:val="24"/>
              </w:rPr>
              <w:t xml:space="preserve">40302 </w:t>
            </w:r>
            <w:r w:rsidR="00100F3C" w:rsidRPr="00351CB3">
              <w:rPr>
                <w:sz w:val="24"/>
              </w:rPr>
              <w:t xml:space="preserve">Asphalt concrete </w:t>
            </w:r>
            <w:proofErr w:type="gramStart"/>
            <w:r w:rsidR="00100F3C" w:rsidRPr="00351CB3">
              <w:rPr>
                <w:sz w:val="24"/>
              </w:rPr>
              <w:t>pavement</w:t>
            </w:r>
            <w:r w:rsidR="00100F3C" w:rsidRPr="00351CB3">
              <w:rPr>
                <w:sz w:val="24"/>
                <w:vertAlign w:val="superscript"/>
              </w:rPr>
              <w:t>(</w:t>
            </w:r>
            <w:proofErr w:type="gramEnd"/>
            <w:r w:rsidR="00100F3C" w:rsidRPr="00351CB3">
              <w:rPr>
                <w:sz w:val="24"/>
                <w:vertAlign w:val="superscript"/>
              </w:rPr>
              <w:t>1)</w:t>
            </w:r>
          </w:p>
          <w:p w14:paraId="7A059663" w14:textId="77777777" w:rsidR="004376FA" w:rsidRPr="00351CB3" w:rsidRDefault="00100F3C" w:rsidP="00100F3C">
            <w:pPr>
              <w:pStyle w:val="Table109-2Item"/>
              <w:jc w:val="left"/>
              <w:rPr>
                <w:sz w:val="24"/>
              </w:rPr>
            </w:pPr>
            <w:r w:rsidRPr="00351CB3">
              <w:rPr>
                <w:sz w:val="24"/>
              </w:rPr>
              <w:t>40303 A</w:t>
            </w:r>
            <w:r w:rsidR="004376FA" w:rsidRPr="00351CB3">
              <w:rPr>
                <w:sz w:val="24"/>
              </w:rPr>
              <w:t xml:space="preserve">sphalt concrete pavement, </w:t>
            </w:r>
            <w:proofErr w:type="gramStart"/>
            <w:r w:rsidR="004376FA" w:rsidRPr="00351CB3">
              <w:rPr>
                <w:sz w:val="24"/>
              </w:rPr>
              <w:t>wedge</w:t>
            </w:r>
            <w:proofErr w:type="gramEnd"/>
            <w:r w:rsidR="004376FA" w:rsidRPr="00351CB3">
              <w:rPr>
                <w:sz w:val="24"/>
              </w:rPr>
              <w:t xml:space="preserve"> and leveling course</w:t>
            </w:r>
          </w:p>
        </w:tc>
        <w:tc>
          <w:tcPr>
            <w:tcW w:w="2880" w:type="dxa"/>
          </w:tcPr>
          <w:p w14:paraId="4367561E" w14:textId="77777777" w:rsidR="004376FA" w:rsidRPr="00A27275" w:rsidRDefault="004376FA" w:rsidP="004376FA">
            <w:r w:rsidRPr="00A27275">
              <w:t>2.40 gallons/ton</w:t>
            </w:r>
          </w:p>
          <w:p w14:paraId="615802A9" w14:textId="77777777" w:rsidR="004376FA" w:rsidRPr="00A27275" w:rsidRDefault="004376FA" w:rsidP="00894AA6"/>
        </w:tc>
      </w:tr>
      <w:tr w:rsidR="009D7FCE" w:rsidRPr="00A27275" w14:paraId="67435EE3" w14:textId="77777777" w:rsidTr="00E9054A">
        <w:tc>
          <w:tcPr>
            <w:tcW w:w="6480" w:type="dxa"/>
          </w:tcPr>
          <w:p w14:paraId="5184BF81" w14:textId="5E6EC794" w:rsidR="009D7FCE" w:rsidRPr="00351CB3" w:rsidRDefault="002D4C79" w:rsidP="002D4C79">
            <w:pPr>
              <w:pStyle w:val="Table109-2SubHeading"/>
              <w:jc w:val="left"/>
              <w:rPr>
                <w:sz w:val="24"/>
              </w:rPr>
            </w:pPr>
            <w:r w:rsidRPr="00351CB3">
              <w:rPr>
                <w:sz w:val="24"/>
              </w:rPr>
              <w:t>Section 404 – Thin</w:t>
            </w:r>
            <w:r w:rsidR="006031BC" w:rsidRPr="00351CB3">
              <w:rPr>
                <w:sz w:val="24"/>
              </w:rPr>
              <w:t xml:space="preserve"> L</w:t>
            </w:r>
            <w:r w:rsidRPr="00351CB3">
              <w:rPr>
                <w:sz w:val="24"/>
              </w:rPr>
              <w:t>ift Asphalt Concrete Pavement</w:t>
            </w:r>
          </w:p>
          <w:p w14:paraId="0CF62444" w14:textId="54D7DF0A" w:rsidR="00B655A2" w:rsidRPr="00351CB3" w:rsidRDefault="006031BC" w:rsidP="00A75CB0">
            <w:pPr>
              <w:pStyle w:val="Table109-2Item"/>
              <w:jc w:val="left"/>
              <w:rPr>
                <w:sz w:val="24"/>
              </w:rPr>
            </w:pPr>
            <w:r w:rsidRPr="00351CB3">
              <w:rPr>
                <w:sz w:val="24"/>
              </w:rPr>
              <w:t>40401 Thin lift asphalt concrete pavement</w:t>
            </w:r>
            <w:r w:rsidR="00EC090C" w:rsidRPr="00351CB3">
              <w:rPr>
                <w:sz w:val="24"/>
                <w:vertAlign w:val="superscript"/>
              </w:rPr>
              <w:t>)</w:t>
            </w:r>
          </w:p>
          <w:p w14:paraId="1A56C4E3" w14:textId="1285655E" w:rsidR="00A75CB0" w:rsidRPr="00351CB3" w:rsidRDefault="00FD3B9A" w:rsidP="00A75CB0">
            <w:pPr>
              <w:pStyle w:val="Table109-2Item"/>
              <w:jc w:val="left"/>
              <w:rPr>
                <w:sz w:val="24"/>
              </w:rPr>
            </w:pPr>
            <w:r w:rsidRPr="00351CB3">
              <w:rPr>
                <w:sz w:val="24"/>
              </w:rPr>
              <w:t>40402 Thin lift asphalt concrete pavement</w:t>
            </w:r>
          </w:p>
        </w:tc>
        <w:tc>
          <w:tcPr>
            <w:tcW w:w="2880" w:type="dxa"/>
          </w:tcPr>
          <w:p w14:paraId="0DCC075E" w14:textId="00F82DD2" w:rsidR="009D7FCE" w:rsidRPr="00A27275" w:rsidRDefault="00A75CB0" w:rsidP="004376FA">
            <w:r w:rsidRPr="00A27275">
              <w:t>2.40 gallons/ton</w:t>
            </w:r>
          </w:p>
        </w:tc>
      </w:tr>
      <w:tr w:rsidR="004376FA" w:rsidRPr="00A27275" w14:paraId="3D7CFF36" w14:textId="77777777" w:rsidTr="00E9054A">
        <w:tc>
          <w:tcPr>
            <w:tcW w:w="6480" w:type="dxa"/>
          </w:tcPr>
          <w:p w14:paraId="0D0F829A" w14:textId="77777777" w:rsidR="004376FA" w:rsidRPr="00351CB3" w:rsidRDefault="004376FA" w:rsidP="00E54D1A">
            <w:pPr>
              <w:pStyle w:val="Table109-2SubHeading"/>
              <w:jc w:val="left"/>
              <w:rPr>
                <w:sz w:val="24"/>
              </w:rPr>
            </w:pPr>
            <w:r w:rsidRPr="00351CB3">
              <w:rPr>
                <w:sz w:val="24"/>
              </w:rPr>
              <w:t>Section 405 – Open-Graded Asphalt Friction Course</w:t>
            </w:r>
          </w:p>
          <w:p w14:paraId="271217C0" w14:textId="77777777" w:rsidR="004376FA" w:rsidRPr="00351CB3" w:rsidRDefault="004376FA" w:rsidP="00E9054A">
            <w:pPr>
              <w:pStyle w:val="Table109-2Item"/>
              <w:jc w:val="left"/>
              <w:rPr>
                <w:sz w:val="24"/>
              </w:rPr>
            </w:pPr>
            <w:r w:rsidRPr="00351CB3">
              <w:rPr>
                <w:sz w:val="24"/>
              </w:rPr>
              <w:t xml:space="preserve">40501 Open-graded asphalt friction </w:t>
            </w:r>
            <w:proofErr w:type="gramStart"/>
            <w:r w:rsidRPr="00351CB3">
              <w:rPr>
                <w:sz w:val="24"/>
              </w:rPr>
              <w:t>course</w:t>
            </w:r>
            <w:proofErr w:type="gramEnd"/>
          </w:p>
        </w:tc>
        <w:tc>
          <w:tcPr>
            <w:tcW w:w="2880" w:type="dxa"/>
          </w:tcPr>
          <w:p w14:paraId="7C25F75D" w14:textId="77777777" w:rsidR="004376FA" w:rsidRPr="00A27275" w:rsidRDefault="004376FA" w:rsidP="004376FA">
            <w:r w:rsidRPr="00A27275">
              <w:t>2.40 gallons/ton</w:t>
            </w:r>
          </w:p>
          <w:p w14:paraId="578FAA16" w14:textId="20D5434B" w:rsidR="004376FA" w:rsidRPr="00A27275" w:rsidRDefault="004376FA" w:rsidP="004376FA"/>
        </w:tc>
      </w:tr>
      <w:tr w:rsidR="004376FA" w:rsidRPr="00A27275" w14:paraId="5BA23C70" w14:textId="77777777" w:rsidTr="00E9054A">
        <w:tc>
          <w:tcPr>
            <w:tcW w:w="6480" w:type="dxa"/>
          </w:tcPr>
          <w:p w14:paraId="7F577FB3" w14:textId="056E6C63" w:rsidR="004376FA" w:rsidRPr="00351CB3" w:rsidRDefault="004376FA" w:rsidP="00E9054A">
            <w:pPr>
              <w:pStyle w:val="Table109-2SubHeading"/>
              <w:jc w:val="left"/>
              <w:rPr>
                <w:sz w:val="24"/>
              </w:rPr>
            </w:pPr>
            <w:r w:rsidRPr="00351CB3">
              <w:rPr>
                <w:sz w:val="24"/>
              </w:rPr>
              <w:t xml:space="preserve">Section 408 – </w:t>
            </w:r>
            <w:r w:rsidR="00C2762A" w:rsidRPr="00351CB3">
              <w:rPr>
                <w:sz w:val="24"/>
              </w:rPr>
              <w:t>Ultrathin Bonded Wearing Course</w:t>
            </w:r>
          </w:p>
          <w:p w14:paraId="5ACAE1FF" w14:textId="4A59AE46" w:rsidR="004376FA" w:rsidRPr="00351CB3" w:rsidRDefault="004376FA" w:rsidP="00E9054A">
            <w:pPr>
              <w:pStyle w:val="Table109-2Item"/>
              <w:jc w:val="left"/>
              <w:rPr>
                <w:sz w:val="24"/>
              </w:rPr>
            </w:pPr>
            <w:r w:rsidRPr="00351CB3">
              <w:rPr>
                <w:sz w:val="24"/>
              </w:rPr>
              <w:t xml:space="preserve">40801 </w:t>
            </w:r>
            <w:r w:rsidR="0095525B" w:rsidRPr="00351CB3">
              <w:rPr>
                <w:sz w:val="24"/>
              </w:rPr>
              <w:t xml:space="preserve">Ultrathin bonded wearing </w:t>
            </w:r>
            <w:proofErr w:type="gramStart"/>
            <w:r w:rsidR="0095525B" w:rsidRPr="00351CB3">
              <w:rPr>
                <w:sz w:val="24"/>
              </w:rPr>
              <w:t>course</w:t>
            </w:r>
            <w:proofErr w:type="gramEnd"/>
          </w:p>
          <w:p w14:paraId="344CEA19" w14:textId="2458B2B9" w:rsidR="004376FA" w:rsidRPr="00351CB3" w:rsidRDefault="004376FA" w:rsidP="00E9054A">
            <w:pPr>
              <w:pStyle w:val="Table109-2Item"/>
              <w:jc w:val="left"/>
              <w:rPr>
                <w:sz w:val="24"/>
              </w:rPr>
            </w:pPr>
            <w:r w:rsidRPr="00351CB3">
              <w:rPr>
                <w:sz w:val="24"/>
              </w:rPr>
              <w:t xml:space="preserve">40802 </w:t>
            </w:r>
            <w:r w:rsidR="0095525B" w:rsidRPr="00351CB3">
              <w:rPr>
                <w:sz w:val="24"/>
              </w:rPr>
              <w:t xml:space="preserve">Ultrathin bonded wearing </w:t>
            </w:r>
            <w:proofErr w:type="gramStart"/>
            <w:r w:rsidR="0095525B" w:rsidRPr="00351CB3">
              <w:rPr>
                <w:sz w:val="24"/>
              </w:rPr>
              <w:t>course</w:t>
            </w:r>
            <w:r w:rsidRPr="00351CB3">
              <w:rPr>
                <w:sz w:val="24"/>
                <w:vertAlign w:val="superscript"/>
              </w:rPr>
              <w:t>(</w:t>
            </w:r>
            <w:proofErr w:type="gramEnd"/>
            <w:r w:rsidRPr="00351CB3">
              <w:rPr>
                <w:sz w:val="24"/>
                <w:vertAlign w:val="superscript"/>
              </w:rPr>
              <w:t>1)</w:t>
            </w:r>
          </w:p>
        </w:tc>
        <w:tc>
          <w:tcPr>
            <w:tcW w:w="2880" w:type="dxa"/>
          </w:tcPr>
          <w:p w14:paraId="05BDA198" w14:textId="48E156F7" w:rsidR="004376FA" w:rsidRPr="00A27275" w:rsidRDefault="00A503F4" w:rsidP="004376FA">
            <w:r w:rsidRPr="00A27275">
              <w:t>2.40</w:t>
            </w:r>
            <w:r w:rsidR="004376FA" w:rsidRPr="00A27275">
              <w:t xml:space="preserve"> gallons/ton</w:t>
            </w:r>
          </w:p>
          <w:p w14:paraId="56ECF5E5" w14:textId="30834660" w:rsidR="004376FA" w:rsidRPr="00A27275" w:rsidRDefault="004376FA" w:rsidP="004376FA"/>
        </w:tc>
      </w:tr>
      <w:tr w:rsidR="004376FA" w:rsidRPr="00A27275" w14:paraId="6D5836DA" w14:textId="77777777" w:rsidTr="00E9054A">
        <w:tc>
          <w:tcPr>
            <w:tcW w:w="6480" w:type="dxa"/>
          </w:tcPr>
          <w:p w14:paraId="79F58441" w14:textId="77777777" w:rsidR="004376FA" w:rsidRPr="00351CB3" w:rsidRDefault="004376FA" w:rsidP="00E9054A">
            <w:pPr>
              <w:pStyle w:val="Table109-2SubHeading"/>
              <w:jc w:val="left"/>
              <w:rPr>
                <w:sz w:val="24"/>
              </w:rPr>
            </w:pPr>
            <w:r w:rsidRPr="00351CB3">
              <w:rPr>
                <w:sz w:val="24"/>
              </w:rPr>
              <w:lastRenderedPageBreak/>
              <w:t xml:space="preserve">Section 501 – </w:t>
            </w:r>
            <w:r w:rsidR="002F2B30" w:rsidRPr="00351CB3">
              <w:rPr>
                <w:sz w:val="24"/>
              </w:rPr>
              <w:t xml:space="preserve">Minor Concrete </w:t>
            </w:r>
            <w:r w:rsidRPr="00351CB3">
              <w:rPr>
                <w:sz w:val="24"/>
              </w:rPr>
              <w:t>Pavement</w:t>
            </w:r>
          </w:p>
          <w:p w14:paraId="5ADF9D36" w14:textId="77777777" w:rsidR="004376FA" w:rsidRPr="00351CB3" w:rsidRDefault="004376FA" w:rsidP="00E9054A">
            <w:pPr>
              <w:pStyle w:val="Table109-2Item"/>
              <w:jc w:val="left"/>
              <w:rPr>
                <w:sz w:val="24"/>
              </w:rPr>
            </w:pPr>
            <w:r w:rsidRPr="00351CB3">
              <w:rPr>
                <w:sz w:val="24"/>
              </w:rPr>
              <w:t xml:space="preserve">50101 </w:t>
            </w:r>
            <w:r w:rsidR="00454548" w:rsidRPr="00351CB3">
              <w:rPr>
                <w:sz w:val="24"/>
              </w:rPr>
              <w:t>Minor concrete</w:t>
            </w:r>
            <w:r w:rsidRPr="00351CB3">
              <w:rPr>
                <w:sz w:val="24"/>
              </w:rPr>
              <w:t xml:space="preserve"> </w:t>
            </w:r>
            <w:proofErr w:type="gramStart"/>
            <w:r w:rsidRPr="00351CB3">
              <w:rPr>
                <w:sz w:val="24"/>
              </w:rPr>
              <w:t>pavement</w:t>
            </w:r>
            <w:proofErr w:type="gramEnd"/>
            <w:r w:rsidR="00454548" w:rsidRPr="00351CB3">
              <w:rPr>
                <w:sz w:val="24"/>
              </w:rPr>
              <w:t>, reinforced</w:t>
            </w:r>
          </w:p>
          <w:p w14:paraId="4F9EF429" w14:textId="77777777" w:rsidR="004376FA" w:rsidRPr="00351CB3" w:rsidRDefault="004376FA" w:rsidP="00E9054A">
            <w:pPr>
              <w:pStyle w:val="Table109-2Item"/>
              <w:jc w:val="left"/>
              <w:rPr>
                <w:sz w:val="24"/>
              </w:rPr>
            </w:pPr>
            <w:r w:rsidRPr="00351CB3">
              <w:rPr>
                <w:sz w:val="24"/>
              </w:rPr>
              <w:t xml:space="preserve">50102 </w:t>
            </w:r>
            <w:r w:rsidR="00454548" w:rsidRPr="00351CB3">
              <w:rPr>
                <w:sz w:val="24"/>
              </w:rPr>
              <w:t>Minor concrete</w:t>
            </w:r>
            <w:r w:rsidRPr="00351CB3">
              <w:rPr>
                <w:sz w:val="24"/>
              </w:rPr>
              <w:t xml:space="preserve"> </w:t>
            </w:r>
            <w:proofErr w:type="gramStart"/>
            <w:r w:rsidRPr="00351CB3">
              <w:rPr>
                <w:sz w:val="24"/>
              </w:rPr>
              <w:t>pavement</w:t>
            </w:r>
            <w:proofErr w:type="gramEnd"/>
            <w:r w:rsidR="00454548" w:rsidRPr="00351CB3">
              <w:rPr>
                <w:sz w:val="24"/>
              </w:rPr>
              <w:t>, plain</w:t>
            </w:r>
          </w:p>
        </w:tc>
        <w:tc>
          <w:tcPr>
            <w:tcW w:w="2880" w:type="dxa"/>
          </w:tcPr>
          <w:p w14:paraId="2009B70B" w14:textId="77777777" w:rsidR="004376FA" w:rsidRPr="00A27275" w:rsidRDefault="004376FA" w:rsidP="004376FA">
            <w:r w:rsidRPr="00A27275">
              <w:t>0.60 gallons/yard</w:t>
            </w:r>
            <w:r w:rsidRPr="00A27275">
              <w:rPr>
                <w:vertAlign w:val="superscript"/>
              </w:rPr>
              <w:t>2</w:t>
            </w:r>
          </w:p>
          <w:p w14:paraId="2FBFD4EC" w14:textId="25548300" w:rsidR="004376FA" w:rsidRPr="00A27275" w:rsidRDefault="004376FA" w:rsidP="004376FA"/>
        </w:tc>
      </w:tr>
    </w:tbl>
    <w:p w14:paraId="6C3D3038" w14:textId="77777777" w:rsidR="0009415F" w:rsidRPr="00804F16" w:rsidRDefault="0009415F" w:rsidP="00804F16">
      <w:pPr>
        <w:rPr>
          <w:sz w:val="20"/>
          <w:szCs w:val="20"/>
        </w:rPr>
      </w:pPr>
      <w:r w:rsidRPr="00804F16">
        <w:rPr>
          <w:sz w:val="20"/>
          <w:szCs w:val="20"/>
        </w:rPr>
        <w:t>(1) The Government will convert pay item quantities to match Fuel Usage Factor units.</w:t>
      </w:r>
    </w:p>
    <w:p w14:paraId="026FCB42" w14:textId="77777777" w:rsidR="0009415F" w:rsidRPr="00804F16" w:rsidRDefault="0009415F" w:rsidP="00804F16">
      <w:pPr>
        <w:rPr>
          <w:sz w:val="20"/>
          <w:szCs w:val="20"/>
        </w:rPr>
      </w:pPr>
      <w:r w:rsidRPr="00804F16">
        <w:rPr>
          <w:sz w:val="20"/>
          <w:szCs w:val="20"/>
        </w:rPr>
        <w:t>(2) Fuel Usage Factor based on U.S. gallons.</w:t>
      </w:r>
    </w:p>
    <w:p w14:paraId="15D560A5" w14:textId="1EC0C259" w:rsidR="0009415F" w:rsidRPr="00C40FD5" w:rsidRDefault="00C40FD5" w:rsidP="00C40FD5">
      <w:pPr>
        <w:pStyle w:val="Directions"/>
        <w:rPr>
          <w:rStyle w:val="DirectionsInfo"/>
        </w:rPr>
      </w:pPr>
      <w:r w:rsidRPr="00C40FD5">
        <w:rPr>
          <w:rStyle w:val="DirectionsInfo"/>
        </w:rPr>
        <w:t xml:space="preserve">WFL Specification </w:t>
      </w:r>
      <w:r w:rsidR="0013068D">
        <w:rPr>
          <w:rStyle w:val="DirectionsInfo"/>
        </w:rPr>
        <w:t>01 APR 2024</w:t>
      </w:r>
      <w:r w:rsidR="00B8524B">
        <w:rPr>
          <w:rStyle w:val="DirectionsInfo"/>
        </w:rPr>
        <w:tab/>
        <w:t>1090120</w:t>
      </w:r>
    </w:p>
    <w:p w14:paraId="35E9603A" w14:textId="77777777" w:rsidR="0009415F" w:rsidRDefault="0009415F" w:rsidP="00C40FD5">
      <w:pPr>
        <w:pStyle w:val="Directions"/>
      </w:pPr>
      <w:r>
        <w:t>Include the following in all projects that DO have Subsection 109.06A Adjustments for Price Fluctuations.</w:t>
      </w:r>
    </w:p>
    <w:p w14:paraId="551D6A16" w14:textId="77777777" w:rsidR="0009415F" w:rsidRDefault="0009415F" w:rsidP="00C40FD5">
      <w:pPr>
        <w:pStyle w:val="Directions"/>
      </w:pPr>
      <w:r>
        <w:t>(closing date for the progress payment is the last day of the month for ease in price adjustment calculations)</w:t>
      </w:r>
    </w:p>
    <w:p w14:paraId="647B9FBD" w14:textId="12418CCE" w:rsidR="00C40FD5" w:rsidRPr="00CF0967" w:rsidRDefault="0009415F" w:rsidP="00906CC6">
      <w:pPr>
        <w:pStyle w:val="Heading3"/>
        <w:jc w:val="both"/>
        <w:rPr>
          <w:vanish/>
          <w:specVanish/>
        </w:rPr>
      </w:pPr>
      <w:r>
        <w:t xml:space="preserve">109.08 Progress Payments. </w:t>
      </w:r>
    </w:p>
    <w:p w14:paraId="6109E7EB" w14:textId="6D3512CE" w:rsidR="0009415F" w:rsidRDefault="0009415F" w:rsidP="00C40FD5">
      <w:pPr>
        <w:pStyle w:val="Instructions"/>
      </w:pPr>
      <w:r>
        <w:t xml:space="preserve">Delete </w:t>
      </w:r>
      <w:r w:rsidR="00AB20EB">
        <w:t xml:space="preserve">Subsection </w:t>
      </w:r>
      <w:r>
        <w:t>(</w:t>
      </w:r>
      <w:r w:rsidR="00AB20EB">
        <w:t>d</w:t>
      </w:r>
      <w:r>
        <w:t>) and substitute the following</w:t>
      </w:r>
      <w:r w:rsidRPr="00906CC6">
        <w:rPr>
          <w:u w:val="none"/>
        </w:rPr>
        <w:t>:</w:t>
      </w:r>
    </w:p>
    <w:p w14:paraId="541314F0" w14:textId="42A5D857" w:rsidR="0009415F" w:rsidRDefault="0009415F" w:rsidP="00C40FD5">
      <w:pPr>
        <w:pStyle w:val="Indent1"/>
      </w:pPr>
      <w:r w:rsidRPr="00C40FD5">
        <w:rPr>
          <w:b/>
        </w:rPr>
        <w:t>(</w:t>
      </w:r>
      <w:r w:rsidR="00AB20EB">
        <w:rPr>
          <w:b/>
        </w:rPr>
        <w:t>d</w:t>
      </w:r>
      <w:r w:rsidRPr="00C40FD5">
        <w:rPr>
          <w:b/>
        </w:rPr>
        <w:t>) Closing date and invoice submittal date.</w:t>
      </w:r>
      <w:r w:rsidR="00906CC6">
        <w:rPr>
          <w:b/>
        </w:rPr>
        <w:t xml:space="preserve"> </w:t>
      </w:r>
      <w:r>
        <w:t>The closing date for progress payments will be the last day of the month.</w:t>
      </w:r>
      <w:r w:rsidR="00906CC6">
        <w:t xml:space="preserve"> </w:t>
      </w:r>
      <w:r>
        <w:t>Include work performed after the closing date in the following month's invoice.</w:t>
      </w:r>
      <w:r w:rsidR="00906CC6">
        <w:t xml:space="preserve"> </w:t>
      </w:r>
      <w:r>
        <w:t>For work performed between September and July of any year, submit invoices to the designated billing office by the 7</w:t>
      </w:r>
      <w:r w:rsidRPr="00A27FB7">
        <w:rPr>
          <w:vertAlign w:val="superscript"/>
        </w:rPr>
        <w:t>th</w:t>
      </w:r>
      <w:r w:rsidR="00A27FB7">
        <w:t xml:space="preserve"> </w:t>
      </w:r>
      <w:r>
        <w:t>day after the closing date.</w:t>
      </w:r>
      <w:r w:rsidR="00906CC6">
        <w:t xml:space="preserve"> </w:t>
      </w:r>
      <w:r>
        <w:t>Invoices received by the designated billing office after the 16</w:t>
      </w:r>
      <w:r w:rsidRPr="00A27FB7">
        <w:rPr>
          <w:vertAlign w:val="superscript"/>
        </w:rPr>
        <w:t>th</w:t>
      </w:r>
      <w:r w:rsidR="00A27FB7">
        <w:t xml:space="preserve"> </w:t>
      </w:r>
      <w:r>
        <w:t>day following the closing date, for work included in the September through July invoices, will not be accepted for payment processing that month.</w:t>
      </w:r>
      <w:r w:rsidR="00906CC6">
        <w:t xml:space="preserve"> </w:t>
      </w:r>
      <w:r>
        <w:t>For work included in the August invoice, submit the invoice to the designated billing office by the 5</w:t>
      </w:r>
      <w:r w:rsidRPr="00A27FB7">
        <w:rPr>
          <w:vertAlign w:val="superscript"/>
        </w:rPr>
        <w:t>th</w:t>
      </w:r>
      <w:r w:rsidR="00A27FB7">
        <w:t xml:space="preserve"> </w:t>
      </w:r>
      <w:r>
        <w:t>day after the closing date. Invoices received by the designated billing office after the 5</w:t>
      </w:r>
      <w:r w:rsidRPr="00A27FB7">
        <w:rPr>
          <w:vertAlign w:val="superscript"/>
        </w:rPr>
        <w:t>th</w:t>
      </w:r>
      <w:r w:rsidR="00A27FB7">
        <w:t xml:space="preserve"> </w:t>
      </w:r>
      <w:r>
        <w:t>day following the closing date, for work included in the August invoice, will not be accepted for payment processing that month.</w:t>
      </w:r>
      <w:r w:rsidR="00906CC6">
        <w:t xml:space="preserve"> </w:t>
      </w:r>
      <w:r>
        <w:t>Include late, unprocessed invoice submittals in the following month’s invoice.</w:t>
      </w:r>
    </w:p>
    <w:p w14:paraId="7B170A9C" w14:textId="44855E0B" w:rsidR="0009415F" w:rsidRPr="00C40FD5" w:rsidRDefault="00C40FD5" w:rsidP="00C40FD5">
      <w:pPr>
        <w:pStyle w:val="Directions"/>
        <w:rPr>
          <w:rStyle w:val="DirectionsInfo"/>
        </w:rPr>
      </w:pPr>
      <w:r w:rsidRPr="00C40FD5">
        <w:rPr>
          <w:rStyle w:val="DirectionsInfo"/>
        </w:rPr>
        <w:t xml:space="preserve">WFL Specification </w:t>
      </w:r>
      <w:r w:rsidR="0013068D">
        <w:rPr>
          <w:rStyle w:val="DirectionsInfo"/>
        </w:rPr>
        <w:t>01 APR 2024</w:t>
      </w:r>
      <w:r w:rsidR="00B8524B">
        <w:rPr>
          <w:rStyle w:val="DirectionsInfo"/>
        </w:rPr>
        <w:tab/>
        <w:t>1090130</w:t>
      </w:r>
    </w:p>
    <w:p w14:paraId="3DFEF131" w14:textId="77777777" w:rsidR="0009415F" w:rsidRDefault="0009415F" w:rsidP="00C40FD5">
      <w:pPr>
        <w:pStyle w:val="Directions"/>
      </w:pPr>
      <w:r>
        <w:t>Include the following in all projects that do NOT have Subsection 109.06A Adjustments for Price Fluctuations.</w:t>
      </w:r>
    </w:p>
    <w:p w14:paraId="7877BBA4" w14:textId="36F2E61D" w:rsidR="0009415F" w:rsidRPr="00C40FD5" w:rsidRDefault="00C40FD5" w:rsidP="00906CC6">
      <w:pPr>
        <w:pStyle w:val="Heading3"/>
        <w:jc w:val="both"/>
        <w:rPr>
          <w:vanish/>
          <w:specVanish/>
        </w:rPr>
      </w:pPr>
      <w:r>
        <w:t xml:space="preserve">109.08 Progress Payments. </w:t>
      </w:r>
    </w:p>
    <w:p w14:paraId="08F3C42B" w14:textId="61A8AE72" w:rsidR="0009415F" w:rsidRDefault="0009415F" w:rsidP="00C40FD5">
      <w:pPr>
        <w:pStyle w:val="Instructions"/>
      </w:pPr>
      <w:r>
        <w:t xml:space="preserve">Delete </w:t>
      </w:r>
      <w:r w:rsidR="001B0D99">
        <w:t xml:space="preserve">Subsection </w:t>
      </w:r>
      <w:r>
        <w:t>(</w:t>
      </w:r>
      <w:r w:rsidR="001B0D99">
        <w:t>d</w:t>
      </w:r>
      <w:r>
        <w:t>) and substitute the following</w:t>
      </w:r>
      <w:r w:rsidRPr="00906CC6">
        <w:rPr>
          <w:u w:val="none"/>
        </w:rPr>
        <w:t>:</w:t>
      </w:r>
    </w:p>
    <w:p w14:paraId="0AB94C70" w14:textId="423DCF57" w:rsidR="0009415F" w:rsidRDefault="0009415F" w:rsidP="00C40FD5">
      <w:pPr>
        <w:pStyle w:val="Indent1"/>
      </w:pPr>
      <w:r w:rsidRPr="00C40FD5">
        <w:rPr>
          <w:b/>
        </w:rPr>
        <w:t>(</w:t>
      </w:r>
      <w:r w:rsidR="001B0D99">
        <w:rPr>
          <w:b/>
        </w:rPr>
        <w:t>d</w:t>
      </w:r>
      <w:r w:rsidRPr="00C40FD5">
        <w:rPr>
          <w:b/>
        </w:rPr>
        <w:t>) Closing date and invoice submittal date.</w:t>
      </w:r>
      <w:r w:rsidR="00906CC6">
        <w:rPr>
          <w:b/>
        </w:rPr>
        <w:t xml:space="preserve"> </w:t>
      </w:r>
      <w:r>
        <w:t>The closing date for progress payments will be designated by the CO.</w:t>
      </w:r>
      <w:r w:rsidR="00906CC6">
        <w:t xml:space="preserve"> </w:t>
      </w:r>
      <w:r>
        <w:t>Include work performed after the closing date in the following month's invoice.</w:t>
      </w:r>
      <w:r w:rsidR="00906CC6">
        <w:t xml:space="preserve"> </w:t>
      </w:r>
      <w:r>
        <w:t>For work performed between September and July of any year, submit invoices to the designated billing office by the 7</w:t>
      </w:r>
      <w:r w:rsidRPr="00A27FB7">
        <w:rPr>
          <w:vertAlign w:val="superscript"/>
        </w:rPr>
        <w:t>th</w:t>
      </w:r>
      <w:r w:rsidR="00A27FB7">
        <w:t xml:space="preserve"> </w:t>
      </w:r>
      <w:r>
        <w:t>day after the closing date.</w:t>
      </w:r>
      <w:r w:rsidR="00906CC6">
        <w:t xml:space="preserve"> </w:t>
      </w:r>
      <w:r>
        <w:t>Invoices received by the designated billing office after the 16</w:t>
      </w:r>
      <w:r w:rsidRPr="00A27FB7">
        <w:rPr>
          <w:vertAlign w:val="superscript"/>
        </w:rPr>
        <w:t>th</w:t>
      </w:r>
      <w:r w:rsidR="00A27FB7">
        <w:t xml:space="preserve"> </w:t>
      </w:r>
      <w:r>
        <w:t>day following the closing date, for work included in the September through July invoices, will not be accepted for payment processing that month.</w:t>
      </w:r>
      <w:r w:rsidR="00906CC6">
        <w:t xml:space="preserve"> </w:t>
      </w:r>
      <w:r>
        <w:t>For work included in the August invoice, submit the invoice to the designated billing office by the 5</w:t>
      </w:r>
      <w:r w:rsidRPr="00A27FB7">
        <w:rPr>
          <w:vertAlign w:val="superscript"/>
        </w:rPr>
        <w:t>th</w:t>
      </w:r>
      <w:r w:rsidR="00A27FB7">
        <w:t xml:space="preserve"> </w:t>
      </w:r>
      <w:r>
        <w:t>day after the closing date.</w:t>
      </w:r>
      <w:r w:rsidR="00906CC6">
        <w:t xml:space="preserve"> </w:t>
      </w:r>
      <w:r>
        <w:t>Invoices received by the designated billing office after the 5</w:t>
      </w:r>
      <w:r w:rsidRPr="00A27FB7">
        <w:rPr>
          <w:vertAlign w:val="superscript"/>
        </w:rPr>
        <w:t>th</w:t>
      </w:r>
      <w:r w:rsidR="00084423">
        <w:t> </w:t>
      </w:r>
      <w:r>
        <w:t xml:space="preserve">day following the closing date, for work included in the August invoice, will not be accepted for </w:t>
      </w:r>
      <w:r>
        <w:lastRenderedPageBreak/>
        <w:t>payment processing that month. Include late, unprocessed invoice submittals in the following month’s invoice.</w:t>
      </w:r>
    </w:p>
    <w:p w14:paraId="01B61B9D" w14:textId="0742142D" w:rsidR="0009415F" w:rsidRPr="00C40FD5" w:rsidRDefault="00C40FD5" w:rsidP="00C40FD5">
      <w:pPr>
        <w:pStyle w:val="Directions"/>
        <w:rPr>
          <w:rStyle w:val="DirectionsInfo"/>
        </w:rPr>
      </w:pPr>
      <w:r w:rsidRPr="00C40FD5">
        <w:rPr>
          <w:rStyle w:val="DirectionsInfo"/>
        </w:rPr>
        <w:t xml:space="preserve">WFL Specification </w:t>
      </w:r>
      <w:r w:rsidR="0013068D">
        <w:rPr>
          <w:rStyle w:val="DirectionsInfo"/>
        </w:rPr>
        <w:t>01 APR 2024</w:t>
      </w:r>
      <w:r w:rsidR="00B8524B">
        <w:rPr>
          <w:rStyle w:val="DirectionsInfo"/>
        </w:rPr>
        <w:tab/>
        <w:t>1090140</w:t>
      </w:r>
    </w:p>
    <w:p w14:paraId="424E0EFB" w14:textId="77777777" w:rsidR="0009415F" w:rsidRDefault="0009415F" w:rsidP="00C40FD5">
      <w:pPr>
        <w:pStyle w:val="Directions"/>
      </w:pPr>
      <w:r>
        <w:t>Include the following in all projects.</w:t>
      </w:r>
    </w:p>
    <w:p w14:paraId="47A18ED3" w14:textId="51883616" w:rsidR="0009415F" w:rsidRDefault="0009415F" w:rsidP="00C40FD5">
      <w:pPr>
        <w:pStyle w:val="Instructions"/>
      </w:pPr>
      <w:r>
        <w:t xml:space="preserve">Delete </w:t>
      </w:r>
      <w:r w:rsidR="00CF3F33">
        <w:t xml:space="preserve">Subsection </w:t>
      </w:r>
      <w:r>
        <w:t>(e) and substitute the following</w:t>
      </w:r>
      <w:r w:rsidRPr="00906CC6">
        <w:rPr>
          <w:u w:val="none"/>
        </w:rPr>
        <w:t>:</w:t>
      </w:r>
    </w:p>
    <w:p w14:paraId="1BF104C1" w14:textId="711407FC" w:rsidR="0009415F" w:rsidRDefault="0009415F" w:rsidP="00C40FD5">
      <w:pPr>
        <w:pStyle w:val="Indent1"/>
      </w:pPr>
      <w:r w:rsidRPr="00C40FD5">
        <w:rPr>
          <w:b/>
        </w:rPr>
        <w:t>(e) Processing progress payment requests.</w:t>
      </w:r>
      <w:r w:rsidR="00C40FD5">
        <w:rPr>
          <w:b/>
        </w:rPr>
        <w:t xml:space="preserve"> </w:t>
      </w:r>
      <w:r>
        <w:t>No payment will be made for work unless field note documentation for the work was provided by the closing date.</w:t>
      </w:r>
    </w:p>
    <w:p w14:paraId="08501A43" w14:textId="77777777" w:rsidR="0009415F" w:rsidRPr="00C40FD5" w:rsidRDefault="0009415F" w:rsidP="00C40FD5">
      <w:pPr>
        <w:pStyle w:val="Indent2"/>
        <w:rPr>
          <w:b/>
        </w:rPr>
      </w:pPr>
      <w:r w:rsidRPr="00C40FD5">
        <w:rPr>
          <w:b/>
        </w:rPr>
        <w:t>(1) Work performed between September and July.</w:t>
      </w:r>
    </w:p>
    <w:p w14:paraId="040C2E05" w14:textId="77777777" w:rsidR="0009415F" w:rsidRPr="00C40FD5" w:rsidRDefault="0009415F" w:rsidP="00C40FD5">
      <w:pPr>
        <w:pStyle w:val="Indent3"/>
        <w:rPr>
          <w:i/>
        </w:rPr>
      </w:pPr>
      <w:r w:rsidRPr="00C40FD5">
        <w:rPr>
          <w:i/>
        </w:rPr>
        <w:t>(a) Invoices received by the 7</w:t>
      </w:r>
      <w:r w:rsidRPr="00A27FB7">
        <w:rPr>
          <w:i/>
          <w:vertAlign w:val="superscript"/>
        </w:rPr>
        <w:t>th</w:t>
      </w:r>
      <w:r w:rsidR="00A27FB7">
        <w:rPr>
          <w:i/>
        </w:rPr>
        <w:t xml:space="preserve"> </w:t>
      </w:r>
      <w:r w:rsidRPr="00C40FD5">
        <w:rPr>
          <w:i/>
        </w:rPr>
        <w:t>day following the closing date.</w:t>
      </w:r>
    </w:p>
    <w:p w14:paraId="624E39B3" w14:textId="1D396102" w:rsidR="0009415F" w:rsidRDefault="0009415F" w:rsidP="00C40FD5">
      <w:pPr>
        <w:pStyle w:val="Indent4"/>
      </w:pPr>
      <w:r w:rsidRPr="00C40FD5">
        <w:rPr>
          <w:i/>
        </w:rPr>
        <w:t>(1) Proper invoices.</w:t>
      </w:r>
      <w:r w:rsidR="00906CC6">
        <w:t xml:space="preserve"> </w:t>
      </w:r>
      <w:r>
        <w:t>If the invoice meets the requirements of Subsection 109.08(</w:t>
      </w:r>
      <w:r w:rsidR="009346BB">
        <w:t>b</w:t>
      </w:r>
      <w:r>
        <w:t>), and the quantities and unit prices shown on the Contractors' invoice agree with the corresponding quantities and unit prices shown on the Governments' receiving report, the invoice will be paid.</w:t>
      </w:r>
    </w:p>
    <w:p w14:paraId="6E087798" w14:textId="1DA46DE3" w:rsidR="0009415F" w:rsidRDefault="0009415F" w:rsidP="00C40FD5">
      <w:pPr>
        <w:pStyle w:val="Indent4"/>
      </w:pPr>
      <w:r w:rsidRPr="00C40FD5">
        <w:rPr>
          <w:i/>
        </w:rPr>
        <w:t>(2) Defective invoices.</w:t>
      </w:r>
      <w:r w:rsidR="00906CC6">
        <w:t xml:space="preserve"> </w:t>
      </w:r>
      <w:r>
        <w:t>If the invoice does not meet the requirements of Subsection</w:t>
      </w:r>
      <w:r w:rsidR="00084423">
        <w:t> </w:t>
      </w:r>
      <w:r>
        <w:t>109.08(</w:t>
      </w:r>
      <w:r w:rsidR="009346BB">
        <w:t>b</w:t>
      </w:r>
      <w:r>
        <w:t xml:space="preserve">), or if any of the quantities or unit prices shown on the Contractors' invoice exceed the corresponding quantities and unit prices shown on the Governments' receiving report, the invoice will be deemed </w:t>
      </w:r>
      <w:proofErr w:type="gramStart"/>
      <w:r>
        <w:t>defective</w:t>
      </w:r>
      <w:proofErr w:type="gramEnd"/>
      <w:r>
        <w:t xml:space="preserve"> and the Contractor so notified according to FAR Clause 52.232-27(a)(2).</w:t>
      </w:r>
      <w:r w:rsidR="00906CC6">
        <w:t xml:space="preserve"> </w:t>
      </w:r>
      <w:r>
        <w:t>Defective invoices will not be corrected by the Government and will be returned to the Contractor within 7 days after the Government’s designated billing office receives the invoice.</w:t>
      </w:r>
    </w:p>
    <w:p w14:paraId="55E0EDD1" w14:textId="3085111D" w:rsidR="0009415F" w:rsidRDefault="0009415F" w:rsidP="00C40FD5">
      <w:pPr>
        <w:pStyle w:val="Indent4"/>
      </w:pPr>
      <w:r>
        <w:t>Revise and resubmit returned invoices by the 18</w:t>
      </w:r>
      <w:r w:rsidRPr="00A27FB7">
        <w:rPr>
          <w:vertAlign w:val="superscript"/>
        </w:rPr>
        <w:t>th</w:t>
      </w:r>
      <w:r w:rsidR="00A27FB7">
        <w:t xml:space="preserve"> </w:t>
      </w:r>
      <w:r>
        <w:t>day following the closing date.</w:t>
      </w:r>
      <w:r w:rsidR="00906CC6">
        <w:t xml:space="preserve"> </w:t>
      </w:r>
      <w:r>
        <w:t>The CO will evaluate the revised invoice.</w:t>
      </w:r>
      <w:r w:rsidR="00906CC6">
        <w:t xml:space="preserve"> </w:t>
      </w:r>
      <w:r>
        <w:t>If the invoice still does not meet the requirements of Subsection 109.08(</w:t>
      </w:r>
      <w:r w:rsidR="009346BB">
        <w:t>b</w:t>
      </w:r>
      <w:r>
        <w:t>), the Contractor will be so notified according to FAR Clause 52.232-27(a)(2), and no progress payment will be made that month.</w:t>
      </w:r>
      <w:r w:rsidR="00906CC6">
        <w:t xml:space="preserve"> </w:t>
      </w:r>
      <w:r>
        <w:t>Correct the deficiencies and resubmit the invoice the following month.</w:t>
      </w:r>
    </w:p>
    <w:p w14:paraId="31103E79" w14:textId="1B076D44" w:rsidR="0009415F" w:rsidRDefault="0009415F" w:rsidP="00C40FD5">
      <w:pPr>
        <w:pStyle w:val="Indent4"/>
      </w:pPr>
      <w:r>
        <w:t>If the revised invoice meets the requirements of Subsection 109.08(</w:t>
      </w:r>
      <w:r w:rsidR="009346BB">
        <w:t>b</w:t>
      </w:r>
      <w:r>
        <w:t>), but still has quantities or unit prices exceeding the corresponding quantities and unit prices shown on the Governments’ receiving report, the Government’s data for that item of work will be used.</w:t>
      </w:r>
      <w:r w:rsidR="00906CC6">
        <w:t xml:space="preserve"> </w:t>
      </w:r>
      <w:r>
        <w:t>The Contractors’ invoice, as revised by the Governments’ receiving report, will be forwarded for processing by the 23</w:t>
      </w:r>
      <w:r w:rsidRPr="00A27FB7">
        <w:rPr>
          <w:vertAlign w:val="superscript"/>
        </w:rPr>
        <w:t>rd</w:t>
      </w:r>
      <w:r w:rsidR="00A27FB7">
        <w:t xml:space="preserve"> </w:t>
      </w:r>
      <w:r>
        <w:t>day following the closing date.</w:t>
      </w:r>
      <w:r w:rsidR="00906CC6">
        <w:t xml:space="preserve"> </w:t>
      </w:r>
      <w:r>
        <w:t>The Contractor will be notified by the 23</w:t>
      </w:r>
      <w:r w:rsidRPr="00A27FB7">
        <w:rPr>
          <w:vertAlign w:val="superscript"/>
        </w:rPr>
        <w:t>rd</w:t>
      </w:r>
      <w:r w:rsidR="00A27FB7">
        <w:t xml:space="preserve"> </w:t>
      </w:r>
      <w:r>
        <w:t>day following the closing date of the reasons for any changes to the invoice.</w:t>
      </w:r>
    </w:p>
    <w:p w14:paraId="57396FBD" w14:textId="77777777" w:rsidR="0009415F" w:rsidRPr="00C40FD5" w:rsidRDefault="0009415F" w:rsidP="00C40FD5">
      <w:pPr>
        <w:pStyle w:val="Indent3"/>
        <w:rPr>
          <w:i/>
        </w:rPr>
      </w:pPr>
      <w:r w:rsidRPr="00C40FD5">
        <w:rPr>
          <w:i/>
        </w:rPr>
        <w:t>(b) Invoices received between the 8</w:t>
      </w:r>
      <w:r w:rsidRPr="00A27FB7">
        <w:rPr>
          <w:i/>
          <w:vertAlign w:val="superscript"/>
        </w:rPr>
        <w:t>th</w:t>
      </w:r>
      <w:r w:rsidR="00A27FB7">
        <w:rPr>
          <w:i/>
        </w:rPr>
        <w:t xml:space="preserve"> </w:t>
      </w:r>
      <w:r w:rsidRPr="00C40FD5">
        <w:rPr>
          <w:i/>
        </w:rPr>
        <w:t>and 16</w:t>
      </w:r>
      <w:r w:rsidRPr="00A27FB7">
        <w:rPr>
          <w:i/>
          <w:vertAlign w:val="superscript"/>
        </w:rPr>
        <w:t>th</w:t>
      </w:r>
      <w:r w:rsidR="00A27FB7">
        <w:rPr>
          <w:i/>
        </w:rPr>
        <w:t xml:space="preserve"> </w:t>
      </w:r>
      <w:r w:rsidRPr="00C40FD5">
        <w:rPr>
          <w:i/>
        </w:rPr>
        <w:t>day following the closing date.</w:t>
      </w:r>
    </w:p>
    <w:p w14:paraId="51807FF3" w14:textId="465D1CAB" w:rsidR="0009415F" w:rsidRDefault="0009415F" w:rsidP="00C40FD5">
      <w:pPr>
        <w:pStyle w:val="Indent4"/>
      </w:pPr>
      <w:r w:rsidRPr="00C40FD5">
        <w:rPr>
          <w:i/>
        </w:rPr>
        <w:t>(1) Proper invoices.</w:t>
      </w:r>
      <w:r w:rsidR="00906CC6">
        <w:t xml:space="preserve"> </w:t>
      </w:r>
      <w:r>
        <w:t>If the invoice meets the requirements of Subsection 109.08(</w:t>
      </w:r>
      <w:r w:rsidR="00D3028A">
        <w:t>b</w:t>
      </w:r>
      <w:r>
        <w:t xml:space="preserve">), and the quantities and unit prices shown on the Contractors' invoice agree with the corresponding quantities and unit prices shown on the COs' receiving report, the </w:t>
      </w:r>
      <w:r>
        <w:lastRenderedPageBreak/>
        <w:t>invoice will be deemed proper and forwarded for processing within 7 days of receipt.</w:t>
      </w:r>
    </w:p>
    <w:p w14:paraId="49B96265" w14:textId="435C1852" w:rsidR="0009415F" w:rsidRDefault="0009415F" w:rsidP="00C40FD5">
      <w:pPr>
        <w:pStyle w:val="Indent4"/>
      </w:pPr>
      <w:r w:rsidRPr="00C40FD5">
        <w:rPr>
          <w:i/>
        </w:rPr>
        <w:t>(2) Defective invoices.</w:t>
      </w:r>
      <w:r w:rsidR="00906CC6">
        <w:t xml:space="preserve"> </w:t>
      </w:r>
      <w:r>
        <w:t>If the invoice does not meet the requirements of Subsection</w:t>
      </w:r>
      <w:r w:rsidR="00084423">
        <w:t> </w:t>
      </w:r>
      <w:r>
        <w:t>109.08(</w:t>
      </w:r>
      <w:r w:rsidR="00D3028A">
        <w:t>b</w:t>
      </w:r>
      <w:r>
        <w:t>), the invoice will be deemed defective, the Contractor so notified according to FAR Clause 52.232 27(a)(2), and no progress payment will be made that month.</w:t>
      </w:r>
      <w:r w:rsidR="00906CC6">
        <w:t xml:space="preserve"> </w:t>
      </w:r>
      <w:r>
        <w:t>Correct the deficiencies and resubmit the invoice the following month.</w:t>
      </w:r>
    </w:p>
    <w:p w14:paraId="6800A3B7" w14:textId="3FC6C445" w:rsidR="0009415F" w:rsidRDefault="0009415F" w:rsidP="00C40FD5">
      <w:pPr>
        <w:pStyle w:val="Indent4"/>
      </w:pPr>
      <w:r>
        <w:t xml:space="preserve">If the invoice meets the requirements of Subsection </w:t>
      </w:r>
      <w:proofErr w:type="gramStart"/>
      <w:r>
        <w:t>109.08(</w:t>
      </w:r>
      <w:r w:rsidR="00D3028A">
        <w:t>b</w:t>
      </w:r>
      <w:r>
        <w:t>), but</w:t>
      </w:r>
      <w:proofErr w:type="gramEnd"/>
      <w:r>
        <w:t xml:space="preserve"> has quantities or unit prices exceeding the corresponding quantities and unit prices shown on the Governments' receiving report, the Government’s data for that item of work will be used.</w:t>
      </w:r>
      <w:r w:rsidR="00906CC6">
        <w:t xml:space="preserve"> </w:t>
      </w:r>
      <w:r>
        <w:t>The Contractors’ invoice, as revised by the Governments’ receiving report, will be forwarded for processing within 7 days after receiving the invoice.</w:t>
      </w:r>
      <w:r w:rsidR="00906CC6">
        <w:t xml:space="preserve"> </w:t>
      </w:r>
      <w:r>
        <w:t>The Contractor will be notified, within 7 days of the Government’s receipt of the invoice, of the reasons for any changes to the invoice.</w:t>
      </w:r>
    </w:p>
    <w:p w14:paraId="7B959A50" w14:textId="77777777" w:rsidR="0009415F" w:rsidRPr="00C40FD5" w:rsidRDefault="0009415F" w:rsidP="00C40FD5">
      <w:pPr>
        <w:pStyle w:val="Indent2"/>
        <w:rPr>
          <w:b/>
        </w:rPr>
      </w:pPr>
      <w:r w:rsidRPr="00C40FD5">
        <w:rPr>
          <w:b/>
        </w:rPr>
        <w:t>(2) Work performed during August.</w:t>
      </w:r>
    </w:p>
    <w:p w14:paraId="354DF26A" w14:textId="4E0A6D57" w:rsidR="0009415F" w:rsidRDefault="0009415F" w:rsidP="00C40FD5">
      <w:pPr>
        <w:pStyle w:val="Indent3"/>
      </w:pPr>
      <w:r w:rsidRPr="00C40FD5">
        <w:rPr>
          <w:i/>
        </w:rPr>
        <w:t>(a) Proper invoices.</w:t>
      </w:r>
      <w:r w:rsidR="00906CC6">
        <w:t xml:space="preserve"> </w:t>
      </w:r>
      <w:r>
        <w:t>If the invoice meets the requirements of Subsection 109.08(</w:t>
      </w:r>
      <w:r w:rsidR="00D3028A">
        <w:t>b</w:t>
      </w:r>
      <w:r>
        <w:t>), and the quantities and unit prices shown on the Contractor's invoice agree with the corresponding quantities and unit prices shown on the CO's receiving report, the invoice will be deemed proper and forwarded for processing within 7 days of receipt.</w:t>
      </w:r>
    </w:p>
    <w:p w14:paraId="0A599006" w14:textId="674B3023" w:rsidR="0009415F" w:rsidRDefault="0009415F" w:rsidP="00C40FD5">
      <w:pPr>
        <w:pStyle w:val="Indent3"/>
      </w:pPr>
      <w:r w:rsidRPr="00C40FD5">
        <w:rPr>
          <w:i/>
        </w:rPr>
        <w:t>(b) Defective invoices.</w:t>
      </w:r>
      <w:r w:rsidR="00906CC6">
        <w:t xml:space="preserve"> </w:t>
      </w:r>
      <w:r>
        <w:t>If the invoice does not meet the requirements of Subsection</w:t>
      </w:r>
      <w:r w:rsidR="00663C40">
        <w:t> </w:t>
      </w:r>
      <w:r>
        <w:t>109.08(c), the invoice will be deemed defective, the Contractor so notified according to FAR Clause 52.232 27(a)(2), and no progress payment will be made that month.</w:t>
      </w:r>
      <w:r w:rsidR="00906CC6">
        <w:t xml:space="preserve"> </w:t>
      </w:r>
      <w:r>
        <w:t>Correct the deficiencies and resubmit the invoice the following month.</w:t>
      </w:r>
    </w:p>
    <w:p w14:paraId="28F6DC8B" w14:textId="51DA1937" w:rsidR="0009415F" w:rsidRDefault="0009415F" w:rsidP="00C40FD5">
      <w:pPr>
        <w:pStyle w:val="Indent3"/>
      </w:pPr>
      <w:r>
        <w:t xml:space="preserve">If the invoice meets the requirements of Subsection </w:t>
      </w:r>
      <w:proofErr w:type="gramStart"/>
      <w:r>
        <w:t>109.08(</w:t>
      </w:r>
      <w:r w:rsidR="00D3028A">
        <w:t>b</w:t>
      </w:r>
      <w:r>
        <w:t>), but</w:t>
      </w:r>
      <w:proofErr w:type="gramEnd"/>
      <w:r>
        <w:t xml:space="preserve"> has quantities or unit prices exceeding the corresponding quantities and unit prices shown on the Governments' receiving report, the Government’s data for that item of work will be used.</w:t>
      </w:r>
      <w:r w:rsidR="00906CC6">
        <w:t xml:space="preserve"> </w:t>
      </w:r>
      <w:r>
        <w:t>The Contractors’ invoice, as revised by the Governments’ receiving report, will be forwarded for processing within 7 days after receiving the invoice.</w:t>
      </w:r>
      <w:r w:rsidR="00906CC6">
        <w:t xml:space="preserve"> </w:t>
      </w:r>
      <w:r>
        <w:t>The Contractor will be notified, within 7 days of the Government’s receipt of the invoice, of the reasons for any changes to the invoice.</w:t>
      </w:r>
    </w:p>
    <w:p w14:paraId="21779A56" w14:textId="05AFFBE4" w:rsidR="0009415F" w:rsidRDefault="0009415F" w:rsidP="00C40FD5">
      <w:pPr>
        <w:pStyle w:val="Instructions"/>
      </w:pPr>
      <w:r>
        <w:t xml:space="preserve">Delete </w:t>
      </w:r>
      <w:r w:rsidR="006C0323">
        <w:t xml:space="preserve">Subsection </w:t>
      </w:r>
      <w:r>
        <w:t>(f) and substitute the following</w:t>
      </w:r>
      <w:r w:rsidRPr="00906CC6">
        <w:rPr>
          <w:u w:val="none"/>
        </w:rPr>
        <w:t>:</w:t>
      </w:r>
    </w:p>
    <w:p w14:paraId="0468A6EB" w14:textId="7505B138" w:rsidR="0009415F" w:rsidRPr="00C40FD5" w:rsidRDefault="0009415F" w:rsidP="00F252F3">
      <w:pPr>
        <w:pStyle w:val="Indent1"/>
        <w:rPr>
          <w:b/>
        </w:rPr>
      </w:pPr>
      <w:r w:rsidRPr="00C40FD5">
        <w:rPr>
          <w:b/>
        </w:rPr>
        <w:t>(f) Partial payments.</w:t>
      </w:r>
      <w:r w:rsidR="00906CC6">
        <w:rPr>
          <w:b/>
        </w:rPr>
        <w:t xml:space="preserve"> </w:t>
      </w:r>
      <w:r w:rsidRPr="00EF2DCB">
        <w:t>Invoices may include the following:</w:t>
      </w:r>
    </w:p>
    <w:p w14:paraId="3DD83866" w14:textId="07F276F8" w:rsidR="0009415F" w:rsidRDefault="0009415F" w:rsidP="00C40FD5">
      <w:pPr>
        <w:pStyle w:val="Indent2"/>
      </w:pPr>
      <w:r w:rsidRPr="00C40FD5">
        <w:rPr>
          <w:b/>
        </w:rPr>
        <w:t>(1)</w:t>
      </w:r>
      <w:r>
        <w:t xml:space="preserve"> Progress payments may include partial payment for material to be incorporated in the work, provided the material is delivered on or </w:t>
      </w:r>
      <w:r w:rsidR="00875A34">
        <w:t>near</w:t>
      </w:r>
      <w:r>
        <w:t xml:space="preserve"> the project</w:t>
      </w:r>
      <w:r w:rsidR="00EE1134">
        <w:t>,</w:t>
      </w:r>
      <w:r>
        <w:t xml:space="preserve"> or stored in </w:t>
      </w:r>
      <w:r w:rsidR="00B402FE">
        <w:t xml:space="preserve">an approved </w:t>
      </w:r>
      <w:r>
        <w:t xml:space="preserve">storage </w:t>
      </w:r>
      <w:r w:rsidR="00B402FE">
        <w:t>location</w:t>
      </w:r>
      <w:r>
        <w:t>.</w:t>
      </w:r>
    </w:p>
    <w:p w14:paraId="2DB0BAC0" w14:textId="2A59EF6C" w:rsidR="003B3473" w:rsidRDefault="003B3473" w:rsidP="00C40FD5">
      <w:pPr>
        <w:pStyle w:val="Indent2"/>
      </w:pPr>
      <w:r>
        <w:t>Provide test results and material certifications for material when partial payment is requested.</w:t>
      </w:r>
    </w:p>
    <w:p w14:paraId="2AF86F48" w14:textId="3A337D46" w:rsidR="0009415F" w:rsidRDefault="003B3473" w:rsidP="00C40FD5">
      <w:pPr>
        <w:pStyle w:val="Indent2"/>
      </w:pPr>
      <w:r>
        <w:lastRenderedPageBreak/>
        <w:t>Do not request partial payment for materials that do not meet the contract specifications according to Subsections 106.03 and 106.04 or when the pay factor is less than 0.9 as calculated under Subsection 106.05.</w:t>
      </w:r>
      <w:r w:rsidR="00875A34">
        <w:t xml:space="preserve"> </w:t>
      </w:r>
      <w:r w:rsidR="0009415F">
        <w:t>Partial payments will not be made for living or perishable material</w:t>
      </w:r>
      <w:r w:rsidR="003E0761">
        <w:t>.</w:t>
      </w:r>
    </w:p>
    <w:p w14:paraId="17D1E8E9" w14:textId="231AA5B9" w:rsidR="0009415F" w:rsidRDefault="0009415F" w:rsidP="00C40FD5">
      <w:pPr>
        <w:pStyle w:val="Indent2"/>
      </w:pPr>
      <w:r w:rsidRPr="00C40FD5">
        <w:rPr>
          <w:b/>
        </w:rPr>
        <w:t>(2)</w:t>
      </w:r>
      <w:r>
        <w:t xml:space="preserve"> Partial payment for preparatory work.</w:t>
      </w:r>
    </w:p>
    <w:p w14:paraId="6AE0FE9F" w14:textId="77777777" w:rsidR="0009415F" w:rsidRDefault="0009415F" w:rsidP="00C40FD5">
      <w:pPr>
        <w:pStyle w:val="Indent1"/>
      </w:pPr>
      <w:r>
        <w:t>Individual and cumulative partial payments for preparatory work and material will not exceed the lesser of:</w:t>
      </w:r>
    </w:p>
    <w:p w14:paraId="5494FAA5" w14:textId="77777777" w:rsidR="00C40FD5" w:rsidRDefault="0009415F" w:rsidP="00753FE3">
      <w:pPr>
        <w:pStyle w:val="Indent1Tight"/>
        <w:numPr>
          <w:ilvl w:val="0"/>
          <w:numId w:val="21"/>
        </w:numPr>
        <w:ind w:left="1080"/>
      </w:pPr>
      <w:r>
        <w:t>80 percent of the contract bid price for the item; or</w:t>
      </w:r>
    </w:p>
    <w:p w14:paraId="72606088" w14:textId="77777777" w:rsidR="0009415F" w:rsidRDefault="0009415F" w:rsidP="00753FE3">
      <w:pPr>
        <w:pStyle w:val="Indent1Tight"/>
        <w:numPr>
          <w:ilvl w:val="0"/>
          <w:numId w:val="21"/>
        </w:numPr>
        <w:ind w:left="1080"/>
      </w:pPr>
      <w:r>
        <w:t>100 percent of amount supported by copies of invoices submitted.</w:t>
      </w:r>
    </w:p>
    <w:p w14:paraId="76644461" w14:textId="3A2C4733" w:rsidR="0009415F" w:rsidRDefault="0009415F" w:rsidP="00C40FD5">
      <w:pPr>
        <w:pStyle w:val="Indent1"/>
      </w:pPr>
      <w:r>
        <w:t>The quantity paid will not exceed the corresponding quantity estimated in the contract.</w:t>
      </w:r>
      <w:r w:rsidR="00F16C49">
        <w:t xml:space="preserve"> </w:t>
      </w:r>
      <w:r w:rsidR="005A3F71">
        <w:t>Partial</w:t>
      </w:r>
      <w:r w:rsidR="00F16C49">
        <w:t xml:space="preserve"> payment for preparatory work and material does not constitute acceptance of work.</w:t>
      </w:r>
    </w:p>
    <w:p w14:paraId="7FA02A8E" w14:textId="39982D28" w:rsidR="0009415F" w:rsidRDefault="0009415F" w:rsidP="00C40FD5">
      <w:pPr>
        <w:pStyle w:val="Indent1"/>
      </w:pPr>
      <w:r>
        <w:t>Submit pay notes according to Subsection 109.01.</w:t>
      </w:r>
      <w:r w:rsidR="00875A34">
        <w:t xml:space="preserve"> </w:t>
      </w:r>
      <w:r>
        <w:t>Provide a cost breakdown of the bid item components and submit invoices or other documents supporting the partial payment.</w:t>
      </w:r>
    </w:p>
    <w:p w14:paraId="3E8D8A63" w14:textId="6EF601C7" w:rsidR="0009415F" w:rsidRDefault="0009415F" w:rsidP="00C40FD5">
      <w:pPr>
        <w:pStyle w:val="Indent1"/>
      </w:pPr>
      <w:r>
        <w:t xml:space="preserve">The CO may adjust partial payments </w:t>
      </w:r>
      <w:r w:rsidR="001441B9">
        <w:t>for protection of</w:t>
      </w:r>
      <w:r>
        <w:t xml:space="preserve"> the Government.</w:t>
      </w:r>
    </w:p>
    <w:p w14:paraId="581ECA9D" w14:textId="07049C82" w:rsidR="009C759E" w:rsidRPr="00C40FD5" w:rsidRDefault="009C759E" w:rsidP="009C759E">
      <w:pPr>
        <w:pStyle w:val="Directions"/>
        <w:rPr>
          <w:rStyle w:val="DirectionsInfo"/>
        </w:rPr>
      </w:pPr>
      <w:r w:rsidRPr="00C40FD5">
        <w:rPr>
          <w:rStyle w:val="DirectionsInfo"/>
        </w:rPr>
        <w:t xml:space="preserve">WFL Specification </w:t>
      </w:r>
      <w:r w:rsidR="0013068D">
        <w:rPr>
          <w:rStyle w:val="DirectionsInfo"/>
        </w:rPr>
        <w:t>01 APR 2024</w:t>
      </w:r>
      <w:r>
        <w:rPr>
          <w:rStyle w:val="DirectionsInfo"/>
        </w:rPr>
        <w:tab/>
        <w:t>1090150</w:t>
      </w:r>
    </w:p>
    <w:p w14:paraId="63C6C26D" w14:textId="77777777" w:rsidR="0060559B" w:rsidRDefault="009C759E" w:rsidP="009C759E">
      <w:pPr>
        <w:pStyle w:val="Directions"/>
      </w:pPr>
      <w:r>
        <w:t>Include the following in all projects.</w:t>
      </w:r>
    </w:p>
    <w:p w14:paraId="0B71FD55" w14:textId="77777777" w:rsidR="0060559B" w:rsidRDefault="0060559B" w:rsidP="009C759E">
      <w:pPr>
        <w:pStyle w:val="Directions"/>
      </w:pPr>
    </w:p>
    <w:p w14:paraId="061109AB" w14:textId="0F410388" w:rsidR="009C759E" w:rsidRDefault="00643943" w:rsidP="001A53C5">
      <w:pPr>
        <w:pStyle w:val="Directions"/>
      </w:pPr>
      <w:r>
        <w:t xml:space="preserve">Adjust the table number as </w:t>
      </w:r>
      <w:r w:rsidR="009A544E">
        <w:t xml:space="preserve">needed depending on the inclusions of Tables 109-1 and 109-2 in the </w:t>
      </w:r>
      <w:r w:rsidR="00E763D7">
        <w:t>preceding</w:t>
      </w:r>
      <w:r w:rsidR="009A544E">
        <w:t xml:space="preserve"> </w:t>
      </w:r>
      <w:r w:rsidR="00E763D7">
        <w:t xml:space="preserve">SCRs.  </w:t>
      </w:r>
      <w:r w:rsidR="00D727F1">
        <w:t xml:space="preserve">For </w:t>
      </w:r>
      <w:proofErr w:type="gramStart"/>
      <w:r w:rsidR="00D727F1">
        <w:t>example</w:t>
      </w:r>
      <w:proofErr w:type="gramEnd"/>
      <w:r w:rsidR="00D727F1">
        <w:t xml:space="preserve"> if both </w:t>
      </w:r>
      <w:r w:rsidR="00A12F7C">
        <w:t>t</w:t>
      </w:r>
      <w:r w:rsidR="007A2293">
        <w:t xml:space="preserve">ables are included this </w:t>
      </w:r>
      <w:r w:rsidR="00A12F7C">
        <w:t>t</w:t>
      </w:r>
      <w:r w:rsidR="007A2293">
        <w:t xml:space="preserve">able would be Table 109-3.  If neither table is </w:t>
      </w:r>
      <w:proofErr w:type="gramStart"/>
      <w:r w:rsidR="007A2293">
        <w:t>included</w:t>
      </w:r>
      <w:proofErr w:type="gramEnd"/>
      <w:r w:rsidR="007A2293">
        <w:t xml:space="preserve"> then this </w:t>
      </w:r>
      <w:r w:rsidR="00A12F7C">
        <w:t>t</w:t>
      </w:r>
      <w:r w:rsidR="007A2293">
        <w:t xml:space="preserve">able </w:t>
      </w:r>
      <w:r w:rsidR="00A12F7C">
        <w:t>would be Table 109-1.</w:t>
      </w:r>
    </w:p>
    <w:p w14:paraId="5702DB18" w14:textId="63F603D3" w:rsidR="0009415F" w:rsidRPr="00C40FD5" w:rsidRDefault="00C40FD5" w:rsidP="00875A34">
      <w:pPr>
        <w:pStyle w:val="Heading3"/>
        <w:jc w:val="both"/>
        <w:rPr>
          <w:vanish/>
          <w:specVanish/>
        </w:rPr>
      </w:pPr>
      <w:r>
        <w:t xml:space="preserve">109.09 Final Payment. </w:t>
      </w:r>
    </w:p>
    <w:p w14:paraId="239C0D79" w14:textId="77777777" w:rsidR="0009415F" w:rsidRDefault="0009415F" w:rsidP="00875A34">
      <w:pPr>
        <w:pStyle w:val="Instructions"/>
      </w:pPr>
      <w:r>
        <w:t>Add the following</w:t>
      </w:r>
      <w:r w:rsidR="00D67227">
        <w:t xml:space="preserve"> after the first paragraph</w:t>
      </w:r>
      <w:r w:rsidRPr="00875A34">
        <w:rPr>
          <w:u w:val="none"/>
        </w:rPr>
        <w:t>:</w:t>
      </w:r>
    </w:p>
    <w:p w14:paraId="34BDA80F" w14:textId="77777777" w:rsidR="0009415F" w:rsidRDefault="0009415F" w:rsidP="0009415F">
      <w:pPr>
        <w:pStyle w:val="BodyText"/>
      </w:pPr>
      <w:r>
        <w:t>Payment for individual pay items will be based on the awarded unit price for each pay item according to the following table.</w:t>
      </w:r>
    </w:p>
    <w:p w14:paraId="111BD802" w14:textId="72FFB71B" w:rsidR="00A12F7C" w:rsidRDefault="00A12F7C" w:rsidP="00CA0DDF">
      <w:pPr>
        <w:pStyle w:val="Caption"/>
      </w:pPr>
      <w:r>
        <w:t>Table 109</w:t>
      </w:r>
      <w:proofErr w:type="gramStart"/>
      <w:r>
        <w:t>-</w:t>
      </w:r>
      <w:r w:rsidR="003540FF">
        <w:t>[</w:t>
      </w:r>
      <w:proofErr w:type="gramEnd"/>
      <w:r w:rsidR="003540FF" w:rsidRPr="001A53C5">
        <w:rPr>
          <w:highlight w:val="yellow"/>
        </w:rPr>
        <w:t>Insert Table Number</w:t>
      </w:r>
      <w:r w:rsidR="003540FF">
        <w:t>]</w:t>
      </w:r>
    </w:p>
    <w:p w14:paraId="6AE51DC4" w14:textId="2DF452DE" w:rsidR="0009415F" w:rsidRDefault="0009415F" w:rsidP="00CA0DDF">
      <w:pPr>
        <w:pStyle w:val="Caption"/>
      </w:pPr>
      <w:r>
        <w:t>Decimal Accuracy of Quantities for Payment</w:t>
      </w:r>
    </w:p>
    <w:tbl>
      <w:tblPr>
        <w:tblStyle w:val="TableSCR"/>
        <w:tblW w:w="0" w:type="auto"/>
        <w:tblLook w:val="04A0" w:firstRow="1" w:lastRow="0" w:firstColumn="1" w:lastColumn="0" w:noHBand="0" w:noVBand="1"/>
      </w:tblPr>
      <w:tblGrid>
        <w:gridCol w:w="3600"/>
        <w:gridCol w:w="3600"/>
      </w:tblGrid>
      <w:tr w:rsidR="00CA0DDF" w:rsidRPr="00CA0DDF" w14:paraId="3BA6D876" w14:textId="77777777" w:rsidTr="00753FE3">
        <w:trPr>
          <w:cnfStyle w:val="100000000000" w:firstRow="1" w:lastRow="0" w:firstColumn="0" w:lastColumn="0" w:oddVBand="0" w:evenVBand="0" w:oddHBand="0" w:evenHBand="0" w:firstRowFirstColumn="0" w:firstRowLastColumn="0" w:lastRowFirstColumn="0" w:lastRowLastColumn="0"/>
        </w:trPr>
        <w:tc>
          <w:tcPr>
            <w:tcW w:w="3600" w:type="dxa"/>
          </w:tcPr>
          <w:p w14:paraId="72B3CBA1" w14:textId="77777777" w:rsidR="00CA0DDF" w:rsidRPr="00CA0DDF" w:rsidRDefault="00CA0DDF" w:rsidP="00CA0DDF">
            <w:r w:rsidRPr="00CA0DDF">
              <w:t>Awarded unit price</w:t>
            </w:r>
          </w:p>
        </w:tc>
        <w:tc>
          <w:tcPr>
            <w:tcW w:w="3600" w:type="dxa"/>
          </w:tcPr>
          <w:p w14:paraId="7697E130" w14:textId="77777777" w:rsidR="00CA0DDF" w:rsidRPr="00CA0DDF" w:rsidRDefault="00CA0DDF" w:rsidP="00753FE3">
            <w:r w:rsidRPr="00CA0DDF">
              <w:t>Decimal Accuracy of Quantities</w:t>
            </w:r>
            <w:r w:rsidR="00753FE3">
              <w:t> for </w:t>
            </w:r>
            <w:r w:rsidRPr="00CA0DDF">
              <w:t>Payment</w:t>
            </w:r>
          </w:p>
        </w:tc>
      </w:tr>
      <w:tr w:rsidR="00CA0DDF" w:rsidRPr="00CA0DDF" w14:paraId="6A15B2AC" w14:textId="77777777" w:rsidTr="00753FE3">
        <w:tc>
          <w:tcPr>
            <w:tcW w:w="3600" w:type="dxa"/>
          </w:tcPr>
          <w:p w14:paraId="0ACB019C" w14:textId="77777777" w:rsidR="00CA0DDF" w:rsidRPr="00CA0DDF" w:rsidRDefault="00CA0DDF" w:rsidP="00CA0DDF">
            <w:r w:rsidRPr="00CA0DDF">
              <w:t>&lt; $1.00</w:t>
            </w:r>
          </w:p>
        </w:tc>
        <w:tc>
          <w:tcPr>
            <w:tcW w:w="3600" w:type="dxa"/>
          </w:tcPr>
          <w:p w14:paraId="29096FE0" w14:textId="77777777" w:rsidR="00CA0DDF" w:rsidRPr="00CA0DDF" w:rsidRDefault="00CA0DDF" w:rsidP="00CA0DDF">
            <w:r w:rsidRPr="00CA0DDF">
              <w:t>0 decimals</w:t>
            </w:r>
          </w:p>
        </w:tc>
      </w:tr>
      <w:tr w:rsidR="00CA0DDF" w:rsidRPr="00CA0DDF" w14:paraId="44A1AB73" w14:textId="77777777" w:rsidTr="00753FE3">
        <w:tc>
          <w:tcPr>
            <w:tcW w:w="3600" w:type="dxa"/>
          </w:tcPr>
          <w:p w14:paraId="5D746991" w14:textId="77777777" w:rsidR="00CA0DDF" w:rsidRPr="00CA0DDF" w:rsidRDefault="00CA0DDF" w:rsidP="00CA0DDF">
            <w:r w:rsidRPr="00CA0DDF">
              <w:t>≥ $1.00 to &lt; $100.00</w:t>
            </w:r>
          </w:p>
        </w:tc>
        <w:tc>
          <w:tcPr>
            <w:tcW w:w="3600" w:type="dxa"/>
          </w:tcPr>
          <w:p w14:paraId="5602CDE5" w14:textId="77777777" w:rsidR="00CA0DDF" w:rsidRPr="00CA0DDF" w:rsidRDefault="00CA0DDF" w:rsidP="00CA0DDF">
            <w:r w:rsidRPr="00CA0DDF">
              <w:t xml:space="preserve">1 </w:t>
            </w:r>
            <w:proofErr w:type="gramStart"/>
            <w:r w:rsidRPr="00CA0DDF">
              <w:t>decimals</w:t>
            </w:r>
            <w:proofErr w:type="gramEnd"/>
          </w:p>
        </w:tc>
      </w:tr>
      <w:tr w:rsidR="00CA0DDF" w:rsidRPr="00CA0DDF" w14:paraId="4E96B3D4" w14:textId="77777777" w:rsidTr="00753FE3">
        <w:tc>
          <w:tcPr>
            <w:tcW w:w="3600" w:type="dxa"/>
          </w:tcPr>
          <w:p w14:paraId="093B2BC7" w14:textId="77777777" w:rsidR="00CA0DDF" w:rsidRPr="00CA0DDF" w:rsidRDefault="00CA0DDF" w:rsidP="00CA0DDF">
            <w:r w:rsidRPr="00CA0DDF">
              <w:t>≥ $100.00 to &lt; $1000.00</w:t>
            </w:r>
          </w:p>
        </w:tc>
        <w:tc>
          <w:tcPr>
            <w:tcW w:w="3600" w:type="dxa"/>
          </w:tcPr>
          <w:p w14:paraId="3E0B3255" w14:textId="77777777" w:rsidR="00CA0DDF" w:rsidRPr="00CA0DDF" w:rsidRDefault="00CA0DDF" w:rsidP="00CA0DDF">
            <w:r w:rsidRPr="00CA0DDF">
              <w:t>2 decimals</w:t>
            </w:r>
          </w:p>
        </w:tc>
      </w:tr>
      <w:tr w:rsidR="00CA0DDF" w:rsidRPr="00CA0DDF" w14:paraId="6610DC51" w14:textId="77777777" w:rsidTr="00753FE3">
        <w:tc>
          <w:tcPr>
            <w:tcW w:w="3600" w:type="dxa"/>
          </w:tcPr>
          <w:p w14:paraId="067DBAC3" w14:textId="77777777" w:rsidR="00CA0DDF" w:rsidRPr="00CA0DDF" w:rsidRDefault="00CA0DDF" w:rsidP="00CA0DDF">
            <w:r>
              <w:t>≥ $1000.00</w:t>
            </w:r>
          </w:p>
        </w:tc>
        <w:tc>
          <w:tcPr>
            <w:tcW w:w="3600" w:type="dxa"/>
          </w:tcPr>
          <w:p w14:paraId="20729027" w14:textId="77777777" w:rsidR="00CA0DDF" w:rsidRPr="00CA0DDF" w:rsidRDefault="00CA0DDF" w:rsidP="00CA0DDF">
            <w:r>
              <w:t>3 decimals</w:t>
            </w:r>
          </w:p>
        </w:tc>
      </w:tr>
    </w:tbl>
    <w:p w14:paraId="2FE0F973" w14:textId="77777777" w:rsidR="0009415F" w:rsidRPr="00CA0DDF" w:rsidRDefault="0009415F" w:rsidP="00D960AB"/>
    <w:sectPr w:rsidR="0009415F" w:rsidRPr="00CA0DDF" w:rsidSect="00D6374F">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D7381" w14:textId="77777777" w:rsidR="00385278" w:rsidRDefault="00385278" w:rsidP="001A6D08">
      <w:r>
        <w:separator/>
      </w:r>
    </w:p>
  </w:endnote>
  <w:endnote w:type="continuationSeparator" w:id="0">
    <w:p w14:paraId="3BF18896" w14:textId="77777777" w:rsidR="00385278" w:rsidRDefault="00385278" w:rsidP="001A6D08">
      <w:r>
        <w:continuationSeparator/>
      </w:r>
    </w:p>
  </w:endnote>
  <w:endnote w:type="continuationNotice" w:id="1">
    <w:p w14:paraId="10F40939" w14:textId="77777777" w:rsidR="00385278" w:rsidRDefault="00385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3CEE5" w14:textId="77777777" w:rsidR="00385278" w:rsidRDefault="00385278" w:rsidP="001A6D08">
      <w:r>
        <w:separator/>
      </w:r>
    </w:p>
  </w:footnote>
  <w:footnote w:type="continuationSeparator" w:id="0">
    <w:p w14:paraId="0AFFE40E" w14:textId="77777777" w:rsidR="00385278" w:rsidRDefault="00385278" w:rsidP="001A6D08">
      <w:r>
        <w:continuationSeparator/>
      </w:r>
    </w:p>
  </w:footnote>
  <w:footnote w:type="continuationNotice" w:id="1">
    <w:p w14:paraId="4D337889" w14:textId="77777777" w:rsidR="00385278" w:rsidRDefault="003852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30487136"/>
    <w:multiLevelType w:val="hybridMultilevel"/>
    <w:tmpl w:val="E67CAFA2"/>
    <w:lvl w:ilvl="0" w:tplc="55285A9E">
      <w:start w:val="101"/>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4" w15:restartNumberingAfterBreak="0">
    <w:nsid w:val="3B7D5EAF"/>
    <w:multiLevelType w:val="hybridMultilevel"/>
    <w:tmpl w:val="4AF03206"/>
    <w:lvl w:ilvl="0" w:tplc="B104547E">
      <w:start w:val="109"/>
      <w:numFmt w:val="bullet"/>
      <w:lvlText w:val=""/>
      <w:lvlJc w:val="left"/>
      <w:pPr>
        <w:ind w:left="420" w:hanging="360"/>
      </w:pPr>
      <w:rPr>
        <w:rFonts w:ascii="Symbol" w:eastAsia="Times New Roman" w:hAnsi="Symbol"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1E5E0C"/>
    <w:multiLevelType w:val="hybridMultilevel"/>
    <w:tmpl w:val="6A4C7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32522104">
    <w:abstractNumId w:val="11"/>
  </w:num>
  <w:num w:numId="2" w16cid:durableId="230042178">
    <w:abstractNumId w:val="9"/>
  </w:num>
  <w:num w:numId="3" w16cid:durableId="1275673035">
    <w:abstractNumId w:val="9"/>
  </w:num>
  <w:num w:numId="4" w16cid:durableId="1121455407">
    <w:abstractNumId w:val="7"/>
  </w:num>
  <w:num w:numId="5" w16cid:durableId="1122307031">
    <w:abstractNumId w:val="16"/>
  </w:num>
  <w:num w:numId="6" w16cid:durableId="798189271">
    <w:abstractNumId w:val="9"/>
  </w:num>
  <w:num w:numId="7" w16cid:durableId="1867675737">
    <w:abstractNumId w:val="10"/>
  </w:num>
  <w:num w:numId="8" w16cid:durableId="1518620346">
    <w:abstractNumId w:val="15"/>
  </w:num>
  <w:num w:numId="9" w16cid:durableId="1185704210">
    <w:abstractNumId w:val="6"/>
  </w:num>
  <w:num w:numId="10" w16cid:durableId="513687925">
    <w:abstractNumId w:val="5"/>
  </w:num>
  <w:num w:numId="11" w16cid:durableId="1065032970">
    <w:abstractNumId w:val="4"/>
  </w:num>
  <w:num w:numId="12" w16cid:durableId="1699116787">
    <w:abstractNumId w:val="8"/>
  </w:num>
  <w:num w:numId="13" w16cid:durableId="1443183679">
    <w:abstractNumId w:val="3"/>
  </w:num>
  <w:num w:numId="14" w16cid:durableId="1495874587">
    <w:abstractNumId w:val="2"/>
  </w:num>
  <w:num w:numId="15" w16cid:durableId="1398750024">
    <w:abstractNumId w:val="1"/>
  </w:num>
  <w:num w:numId="16" w16cid:durableId="1638607221">
    <w:abstractNumId w:val="0"/>
  </w:num>
  <w:num w:numId="17" w16cid:durableId="2082436593">
    <w:abstractNumId w:val="13"/>
  </w:num>
  <w:num w:numId="18" w16cid:durableId="459038402">
    <w:abstractNumId w:val="18"/>
  </w:num>
  <w:num w:numId="19" w16cid:durableId="1564872911">
    <w:abstractNumId w:val="12"/>
  </w:num>
  <w:num w:numId="20" w16cid:durableId="843593296">
    <w:abstractNumId w:val="17"/>
  </w:num>
  <w:num w:numId="21" w16cid:durableId="10260581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4787"/>
    <w:rsid w:val="00005565"/>
    <w:rsid w:val="0000729A"/>
    <w:rsid w:val="000128DE"/>
    <w:rsid w:val="00015C4F"/>
    <w:rsid w:val="00027A97"/>
    <w:rsid w:val="000315E2"/>
    <w:rsid w:val="00043044"/>
    <w:rsid w:val="00050C2D"/>
    <w:rsid w:val="000611B0"/>
    <w:rsid w:val="00061B9B"/>
    <w:rsid w:val="0006675B"/>
    <w:rsid w:val="0007005A"/>
    <w:rsid w:val="00075664"/>
    <w:rsid w:val="0007583D"/>
    <w:rsid w:val="00077E58"/>
    <w:rsid w:val="00080280"/>
    <w:rsid w:val="00080D7F"/>
    <w:rsid w:val="00083E93"/>
    <w:rsid w:val="00084423"/>
    <w:rsid w:val="00085B1C"/>
    <w:rsid w:val="0009415F"/>
    <w:rsid w:val="00094B4C"/>
    <w:rsid w:val="000A3244"/>
    <w:rsid w:val="000A5F09"/>
    <w:rsid w:val="000A5F8B"/>
    <w:rsid w:val="000B02C3"/>
    <w:rsid w:val="000B38B8"/>
    <w:rsid w:val="000B771C"/>
    <w:rsid w:val="000C06A7"/>
    <w:rsid w:val="000C2ED6"/>
    <w:rsid w:val="000C3E4D"/>
    <w:rsid w:val="000C7B01"/>
    <w:rsid w:val="000C7E07"/>
    <w:rsid w:val="000D33A1"/>
    <w:rsid w:val="000D7605"/>
    <w:rsid w:val="000E023F"/>
    <w:rsid w:val="000E72D9"/>
    <w:rsid w:val="000F1FD0"/>
    <w:rsid w:val="001001F3"/>
    <w:rsid w:val="00100E7A"/>
    <w:rsid w:val="00100F3C"/>
    <w:rsid w:val="00104066"/>
    <w:rsid w:val="00104FF1"/>
    <w:rsid w:val="0010533C"/>
    <w:rsid w:val="00106B35"/>
    <w:rsid w:val="00107B59"/>
    <w:rsid w:val="001108CD"/>
    <w:rsid w:val="001128FE"/>
    <w:rsid w:val="00112B35"/>
    <w:rsid w:val="0012354F"/>
    <w:rsid w:val="0013068D"/>
    <w:rsid w:val="00137CB9"/>
    <w:rsid w:val="001434D4"/>
    <w:rsid w:val="001441B9"/>
    <w:rsid w:val="00145ED0"/>
    <w:rsid w:val="00155F9D"/>
    <w:rsid w:val="00156977"/>
    <w:rsid w:val="00160070"/>
    <w:rsid w:val="001602C9"/>
    <w:rsid w:val="0016271D"/>
    <w:rsid w:val="0016405D"/>
    <w:rsid w:val="00173D72"/>
    <w:rsid w:val="00192CD1"/>
    <w:rsid w:val="001A209F"/>
    <w:rsid w:val="001A23FF"/>
    <w:rsid w:val="001A28D6"/>
    <w:rsid w:val="001A48B7"/>
    <w:rsid w:val="001A53C5"/>
    <w:rsid w:val="001A6D08"/>
    <w:rsid w:val="001B09F0"/>
    <w:rsid w:val="001B0D99"/>
    <w:rsid w:val="001B68C5"/>
    <w:rsid w:val="001D0467"/>
    <w:rsid w:val="001D17E1"/>
    <w:rsid w:val="001E117B"/>
    <w:rsid w:val="001F326C"/>
    <w:rsid w:val="00202C7B"/>
    <w:rsid w:val="0021605B"/>
    <w:rsid w:val="00242E65"/>
    <w:rsid w:val="00250DBE"/>
    <w:rsid w:val="00251684"/>
    <w:rsid w:val="00257B80"/>
    <w:rsid w:val="002661B8"/>
    <w:rsid w:val="00272ABA"/>
    <w:rsid w:val="00274BAE"/>
    <w:rsid w:val="002800F5"/>
    <w:rsid w:val="00282085"/>
    <w:rsid w:val="00295342"/>
    <w:rsid w:val="00296EE1"/>
    <w:rsid w:val="002C276F"/>
    <w:rsid w:val="002C3ED6"/>
    <w:rsid w:val="002C576E"/>
    <w:rsid w:val="002D178A"/>
    <w:rsid w:val="002D4C79"/>
    <w:rsid w:val="002D699F"/>
    <w:rsid w:val="002E09F5"/>
    <w:rsid w:val="002E2642"/>
    <w:rsid w:val="002E4ECB"/>
    <w:rsid w:val="002F2B30"/>
    <w:rsid w:val="002F41AD"/>
    <w:rsid w:val="0030194A"/>
    <w:rsid w:val="00312EB1"/>
    <w:rsid w:val="0031368B"/>
    <w:rsid w:val="00334570"/>
    <w:rsid w:val="00334686"/>
    <w:rsid w:val="0033507C"/>
    <w:rsid w:val="00336EC2"/>
    <w:rsid w:val="00340F19"/>
    <w:rsid w:val="003447A5"/>
    <w:rsid w:val="00351CB3"/>
    <w:rsid w:val="003540FF"/>
    <w:rsid w:val="003577E5"/>
    <w:rsid w:val="003626CC"/>
    <w:rsid w:val="00364E7E"/>
    <w:rsid w:val="00367665"/>
    <w:rsid w:val="00372374"/>
    <w:rsid w:val="00374D9D"/>
    <w:rsid w:val="00380DEA"/>
    <w:rsid w:val="00385278"/>
    <w:rsid w:val="003855F0"/>
    <w:rsid w:val="0038772E"/>
    <w:rsid w:val="00390A9A"/>
    <w:rsid w:val="00392588"/>
    <w:rsid w:val="003A1555"/>
    <w:rsid w:val="003B3473"/>
    <w:rsid w:val="003C5B9D"/>
    <w:rsid w:val="003C69D2"/>
    <w:rsid w:val="003D2395"/>
    <w:rsid w:val="003D606A"/>
    <w:rsid w:val="003D6104"/>
    <w:rsid w:val="003D6553"/>
    <w:rsid w:val="003E0761"/>
    <w:rsid w:val="003E2F04"/>
    <w:rsid w:val="003E55C2"/>
    <w:rsid w:val="003E65F6"/>
    <w:rsid w:val="003E7FF6"/>
    <w:rsid w:val="00417682"/>
    <w:rsid w:val="00426B2D"/>
    <w:rsid w:val="00426DF4"/>
    <w:rsid w:val="0043413B"/>
    <w:rsid w:val="00434231"/>
    <w:rsid w:val="004342CC"/>
    <w:rsid w:val="00436D09"/>
    <w:rsid w:val="00436E09"/>
    <w:rsid w:val="004376FA"/>
    <w:rsid w:val="0044012A"/>
    <w:rsid w:val="004431AE"/>
    <w:rsid w:val="00444B82"/>
    <w:rsid w:val="00454548"/>
    <w:rsid w:val="004547DC"/>
    <w:rsid w:val="0046630C"/>
    <w:rsid w:val="00481098"/>
    <w:rsid w:val="00482CBF"/>
    <w:rsid w:val="004847A6"/>
    <w:rsid w:val="0048558E"/>
    <w:rsid w:val="00486CBC"/>
    <w:rsid w:val="0049095F"/>
    <w:rsid w:val="00497763"/>
    <w:rsid w:val="00497B99"/>
    <w:rsid w:val="004A4C22"/>
    <w:rsid w:val="004A6773"/>
    <w:rsid w:val="004C3513"/>
    <w:rsid w:val="004D093B"/>
    <w:rsid w:val="004D34BE"/>
    <w:rsid w:val="004E0012"/>
    <w:rsid w:val="004E5BCA"/>
    <w:rsid w:val="004F19C1"/>
    <w:rsid w:val="004F22D4"/>
    <w:rsid w:val="00506F5A"/>
    <w:rsid w:val="00512CEA"/>
    <w:rsid w:val="005137CE"/>
    <w:rsid w:val="00526C91"/>
    <w:rsid w:val="00530DA4"/>
    <w:rsid w:val="00536499"/>
    <w:rsid w:val="005416CD"/>
    <w:rsid w:val="0054526F"/>
    <w:rsid w:val="00545A07"/>
    <w:rsid w:val="00551239"/>
    <w:rsid w:val="005561AC"/>
    <w:rsid w:val="0056165E"/>
    <w:rsid w:val="00561F12"/>
    <w:rsid w:val="0056392A"/>
    <w:rsid w:val="00570369"/>
    <w:rsid w:val="00571F19"/>
    <w:rsid w:val="005842B7"/>
    <w:rsid w:val="00585128"/>
    <w:rsid w:val="00585C9A"/>
    <w:rsid w:val="00592617"/>
    <w:rsid w:val="005975E3"/>
    <w:rsid w:val="005A3F71"/>
    <w:rsid w:val="005A4A2C"/>
    <w:rsid w:val="005B54E8"/>
    <w:rsid w:val="005C419B"/>
    <w:rsid w:val="005C4CE1"/>
    <w:rsid w:val="005C4DCE"/>
    <w:rsid w:val="005C4E07"/>
    <w:rsid w:val="005C5684"/>
    <w:rsid w:val="005C58A6"/>
    <w:rsid w:val="005D6450"/>
    <w:rsid w:val="005D7DD8"/>
    <w:rsid w:val="005E3132"/>
    <w:rsid w:val="005E313F"/>
    <w:rsid w:val="005F5155"/>
    <w:rsid w:val="005F6C3E"/>
    <w:rsid w:val="005F7A8D"/>
    <w:rsid w:val="0060242C"/>
    <w:rsid w:val="00603177"/>
    <w:rsid w:val="006031BC"/>
    <w:rsid w:val="0060559B"/>
    <w:rsid w:val="006125CF"/>
    <w:rsid w:val="006138AF"/>
    <w:rsid w:val="006175D2"/>
    <w:rsid w:val="00617B92"/>
    <w:rsid w:val="00621F52"/>
    <w:rsid w:val="00623858"/>
    <w:rsid w:val="00625412"/>
    <w:rsid w:val="00625E7D"/>
    <w:rsid w:val="0063098D"/>
    <w:rsid w:val="00635C1E"/>
    <w:rsid w:val="006406AC"/>
    <w:rsid w:val="00642C55"/>
    <w:rsid w:val="00643943"/>
    <w:rsid w:val="00651F6F"/>
    <w:rsid w:val="006524F2"/>
    <w:rsid w:val="00663C40"/>
    <w:rsid w:val="00677554"/>
    <w:rsid w:val="00687386"/>
    <w:rsid w:val="00692A45"/>
    <w:rsid w:val="00697F9F"/>
    <w:rsid w:val="006B1E87"/>
    <w:rsid w:val="006B433C"/>
    <w:rsid w:val="006B60AF"/>
    <w:rsid w:val="006B7796"/>
    <w:rsid w:val="006C0323"/>
    <w:rsid w:val="006C6728"/>
    <w:rsid w:val="006D1056"/>
    <w:rsid w:val="006D37EE"/>
    <w:rsid w:val="006D51C9"/>
    <w:rsid w:val="006E0520"/>
    <w:rsid w:val="006E5578"/>
    <w:rsid w:val="006E6685"/>
    <w:rsid w:val="006E7E6C"/>
    <w:rsid w:val="006F1A5B"/>
    <w:rsid w:val="006F244D"/>
    <w:rsid w:val="00706A61"/>
    <w:rsid w:val="007155DA"/>
    <w:rsid w:val="00724BCF"/>
    <w:rsid w:val="00724C7E"/>
    <w:rsid w:val="00731A2D"/>
    <w:rsid w:val="007335AD"/>
    <w:rsid w:val="0073684B"/>
    <w:rsid w:val="00737C0C"/>
    <w:rsid w:val="007405A0"/>
    <w:rsid w:val="0074491F"/>
    <w:rsid w:val="00747A34"/>
    <w:rsid w:val="007515AF"/>
    <w:rsid w:val="00753FE3"/>
    <w:rsid w:val="00760566"/>
    <w:rsid w:val="00767FAD"/>
    <w:rsid w:val="0078709A"/>
    <w:rsid w:val="0079265F"/>
    <w:rsid w:val="007A2293"/>
    <w:rsid w:val="007A4004"/>
    <w:rsid w:val="007A48E6"/>
    <w:rsid w:val="007A528C"/>
    <w:rsid w:val="007C1479"/>
    <w:rsid w:val="007C22BE"/>
    <w:rsid w:val="007C2D08"/>
    <w:rsid w:val="007C2E18"/>
    <w:rsid w:val="007C5843"/>
    <w:rsid w:val="007D0401"/>
    <w:rsid w:val="007D4400"/>
    <w:rsid w:val="007E44C6"/>
    <w:rsid w:val="007E62C2"/>
    <w:rsid w:val="007E637E"/>
    <w:rsid w:val="007F231B"/>
    <w:rsid w:val="00804F16"/>
    <w:rsid w:val="00810C49"/>
    <w:rsid w:val="0081676A"/>
    <w:rsid w:val="00816C75"/>
    <w:rsid w:val="0082064B"/>
    <w:rsid w:val="008225E4"/>
    <w:rsid w:val="00825670"/>
    <w:rsid w:val="008269A5"/>
    <w:rsid w:val="008273E3"/>
    <w:rsid w:val="00837370"/>
    <w:rsid w:val="00841ABF"/>
    <w:rsid w:val="00842E76"/>
    <w:rsid w:val="00844830"/>
    <w:rsid w:val="0084721D"/>
    <w:rsid w:val="008501C1"/>
    <w:rsid w:val="00867A94"/>
    <w:rsid w:val="0087489A"/>
    <w:rsid w:val="00875923"/>
    <w:rsid w:val="00875A34"/>
    <w:rsid w:val="00877DF1"/>
    <w:rsid w:val="0088124E"/>
    <w:rsid w:val="00884457"/>
    <w:rsid w:val="008845E7"/>
    <w:rsid w:val="00894AA6"/>
    <w:rsid w:val="008A1662"/>
    <w:rsid w:val="008A196E"/>
    <w:rsid w:val="008B2D73"/>
    <w:rsid w:val="008B67FA"/>
    <w:rsid w:val="008C37BA"/>
    <w:rsid w:val="008C4ACC"/>
    <w:rsid w:val="008C4B2B"/>
    <w:rsid w:val="008C6270"/>
    <w:rsid w:val="008D3C9C"/>
    <w:rsid w:val="008F2C77"/>
    <w:rsid w:val="008F4902"/>
    <w:rsid w:val="0090292C"/>
    <w:rsid w:val="00906CC6"/>
    <w:rsid w:val="00912623"/>
    <w:rsid w:val="00912762"/>
    <w:rsid w:val="0091588D"/>
    <w:rsid w:val="00916FF9"/>
    <w:rsid w:val="00927DE5"/>
    <w:rsid w:val="00927ED1"/>
    <w:rsid w:val="009346BB"/>
    <w:rsid w:val="00946805"/>
    <w:rsid w:val="00947F82"/>
    <w:rsid w:val="00954EF6"/>
    <w:rsid w:val="0095525B"/>
    <w:rsid w:val="00961766"/>
    <w:rsid w:val="00973386"/>
    <w:rsid w:val="00977C66"/>
    <w:rsid w:val="0098079B"/>
    <w:rsid w:val="00983675"/>
    <w:rsid w:val="00990751"/>
    <w:rsid w:val="0099255C"/>
    <w:rsid w:val="00992A22"/>
    <w:rsid w:val="009937FA"/>
    <w:rsid w:val="00993C2B"/>
    <w:rsid w:val="00993DF9"/>
    <w:rsid w:val="00997A83"/>
    <w:rsid w:val="009A05CA"/>
    <w:rsid w:val="009A0EB6"/>
    <w:rsid w:val="009A1866"/>
    <w:rsid w:val="009A544E"/>
    <w:rsid w:val="009B0D01"/>
    <w:rsid w:val="009B5F67"/>
    <w:rsid w:val="009C1EC3"/>
    <w:rsid w:val="009C759E"/>
    <w:rsid w:val="009D0A3A"/>
    <w:rsid w:val="009D246B"/>
    <w:rsid w:val="009D7FCE"/>
    <w:rsid w:val="009E06C6"/>
    <w:rsid w:val="009E3AF7"/>
    <w:rsid w:val="009E4E15"/>
    <w:rsid w:val="009E584F"/>
    <w:rsid w:val="009F4BFE"/>
    <w:rsid w:val="009F5971"/>
    <w:rsid w:val="00A01856"/>
    <w:rsid w:val="00A027AE"/>
    <w:rsid w:val="00A12F7C"/>
    <w:rsid w:val="00A13D14"/>
    <w:rsid w:val="00A146F3"/>
    <w:rsid w:val="00A21C8D"/>
    <w:rsid w:val="00A23EDF"/>
    <w:rsid w:val="00A26EFC"/>
    <w:rsid w:val="00A27275"/>
    <w:rsid w:val="00A27FB7"/>
    <w:rsid w:val="00A36BFE"/>
    <w:rsid w:val="00A409E5"/>
    <w:rsid w:val="00A40B5A"/>
    <w:rsid w:val="00A457D6"/>
    <w:rsid w:val="00A45A63"/>
    <w:rsid w:val="00A503F4"/>
    <w:rsid w:val="00A50514"/>
    <w:rsid w:val="00A50FEA"/>
    <w:rsid w:val="00A53459"/>
    <w:rsid w:val="00A54AD7"/>
    <w:rsid w:val="00A63D04"/>
    <w:rsid w:val="00A75CB0"/>
    <w:rsid w:val="00A773C1"/>
    <w:rsid w:val="00A83DED"/>
    <w:rsid w:val="00A90991"/>
    <w:rsid w:val="00A92352"/>
    <w:rsid w:val="00A97BD4"/>
    <w:rsid w:val="00AB20EB"/>
    <w:rsid w:val="00AB5FDF"/>
    <w:rsid w:val="00AC3996"/>
    <w:rsid w:val="00AC5626"/>
    <w:rsid w:val="00AC58B2"/>
    <w:rsid w:val="00AD1C98"/>
    <w:rsid w:val="00AE0D77"/>
    <w:rsid w:val="00AF1CEF"/>
    <w:rsid w:val="00B05569"/>
    <w:rsid w:val="00B06C73"/>
    <w:rsid w:val="00B11A06"/>
    <w:rsid w:val="00B26BDB"/>
    <w:rsid w:val="00B31818"/>
    <w:rsid w:val="00B31888"/>
    <w:rsid w:val="00B402FE"/>
    <w:rsid w:val="00B42EF5"/>
    <w:rsid w:val="00B473BD"/>
    <w:rsid w:val="00B52B90"/>
    <w:rsid w:val="00B535A0"/>
    <w:rsid w:val="00B55060"/>
    <w:rsid w:val="00B61E0C"/>
    <w:rsid w:val="00B655A2"/>
    <w:rsid w:val="00B709EB"/>
    <w:rsid w:val="00B71D46"/>
    <w:rsid w:val="00B72022"/>
    <w:rsid w:val="00B809F7"/>
    <w:rsid w:val="00B82FB5"/>
    <w:rsid w:val="00B8524B"/>
    <w:rsid w:val="00B916FB"/>
    <w:rsid w:val="00B9278D"/>
    <w:rsid w:val="00B93A31"/>
    <w:rsid w:val="00B9744A"/>
    <w:rsid w:val="00BA0176"/>
    <w:rsid w:val="00BA02CE"/>
    <w:rsid w:val="00BA6CDB"/>
    <w:rsid w:val="00BB4D4C"/>
    <w:rsid w:val="00BB6410"/>
    <w:rsid w:val="00BE373C"/>
    <w:rsid w:val="00BF329A"/>
    <w:rsid w:val="00BF6FC5"/>
    <w:rsid w:val="00C00533"/>
    <w:rsid w:val="00C00AB3"/>
    <w:rsid w:val="00C01623"/>
    <w:rsid w:val="00C15EA0"/>
    <w:rsid w:val="00C171C7"/>
    <w:rsid w:val="00C200AA"/>
    <w:rsid w:val="00C22D03"/>
    <w:rsid w:val="00C2408C"/>
    <w:rsid w:val="00C24288"/>
    <w:rsid w:val="00C2762A"/>
    <w:rsid w:val="00C311FA"/>
    <w:rsid w:val="00C33066"/>
    <w:rsid w:val="00C3744C"/>
    <w:rsid w:val="00C40FD5"/>
    <w:rsid w:val="00C452E8"/>
    <w:rsid w:val="00C472A8"/>
    <w:rsid w:val="00C538FB"/>
    <w:rsid w:val="00C701A0"/>
    <w:rsid w:val="00C742CB"/>
    <w:rsid w:val="00C82FBA"/>
    <w:rsid w:val="00C844E5"/>
    <w:rsid w:val="00C85CF0"/>
    <w:rsid w:val="00C95F3D"/>
    <w:rsid w:val="00CA0DDF"/>
    <w:rsid w:val="00CA12BD"/>
    <w:rsid w:val="00CA6982"/>
    <w:rsid w:val="00CA7CD6"/>
    <w:rsid w:val="00CB7ACF"/>
    <w:rsid w:val="00CD12F4"/>
    <w:rsid w:val="00CD13EB"/>
    <w:rsid w:val="00CD6F29"/>
    <w:rsid w:val="00CE16BE"/>
    <w:rsid w:val="00CE3BC8"/>
    <w:rsid w:val="00CF0967"/>
    <w:rsid w:val="00CF1B24"/>
    <w:rsid w:val="00CF1E29"/>
    <w:rsid w:val="00CF3F33"/>
    <w:rsid w:val="00CF422D"/>
    <w:rsid w:val="00CF51F8"/>
    <w:rsid w:val="00D020E2"/>
    <w:rsid w:val="00D04829"/>
    <w:rsid w:val="00D11D31"/>
    <w:rsid w:val="00D1270B"/>
    <w:rsid w:val="00D15320"/>
    <w:rsid w:val="00D224D8"/>
    <w:rsid w:val="00D26DCE"/>
    <w:rsid w:val="00D3028A"/>
    <w:rsid w:val="00D37E87"/>
    <w:rsid w:val="00D405AF"/>
    <w:rsid w:val="00D4068B"/>
    <w:rsid w:val="00D40C64"/>
    <w:rsid w:val="00D4154F"/>
    <w:rsid w:val="00D42631"/>
    <w:rsid w:val="00D432EF"/>
    <w:rsid w:val="00D50A7E"/>
    <w:rsid w:val="00D6077A"/>
    <w:rsid w:val="00D6374F"/>
    <w:rsid w:val="00D67227"/>
    <w:rsid w:val="00D727F1"/>
    <w:rsid w:val="00D80DFD"/>
    <w:rsid w:val="00D87802"/>
    <w:rsid w:val="00D90181"/>
    <w:rsid w:val="00D91CA6"/>
    <w:rsid w:val="00D960AB"/>
    <w:rsid w:val="00DA78D3"/>
    <w:rsid w:val="00DB1302"/>
    <w:rsid w:val="00DB276E"/>
    <w:rsid w:val="00DB4BF6"/>
    <w:rsid w:val="00DB527D"/>
    <w:rsid w:val="00DC2919"/>
    <w:rsid w:val="00DD02F4"/>
    <w:rsid w:val="00DE3909"/>
    <w:rsid w:val="00DF24C2"/>
    <w:rsid w:val="00E03886"/>
    <w:rsid w:val="00E0667F"/>
    <w:rsid w:val="00E079BB"/>
    <w:rsid w:val="00E217EA"/>
    <w:rsid w:val="00E24C94"/>
    <w:rsid w:val="00E25C96"/>
    <w:rsid w:val="00E265CE"/>
    <w:rsid w:val="00E3104D"/>
    <w:rsid w:val="00E32930"/>
    <w:rsid w:val="00E36813"/>
    <w:rsid w:val="00E410C4"/>
    <w:rsid w:val="00E42299"/>
    <w:rsid w:val="00E435D7"/>
    <w:rsid w:val="00E45F9E"/>
    <w:rsid w:val="00E54D1A"/>
    <w:rsid w:val="00E711D4"/>
    <w:rsid w:val="00E763D7"/>
    <w:rsid w:val="00E8101B"/>
    <w:rsid w:val="00E82098"/>
    <w:rsid w:val="00E9054A"/>
    <w:rsid w:val="00E92D0D"/>
    <w:rsid w:val="00E93169"/>
    <w:rsid w:val="00EA1455"/>
    <w:rsid w:val="00EA1E05"/>
    <w:rsid w:val="00EC090C"/>
    <w:rsid w:val="00EC282D"/>
    <w:rsid w:val="00EC57E6"/>
    <w:rsid w:val="00EC5A3D"/>
    <w:rsid w:val="00ED1CF4"/>
    <w:rsid w:val="00ED630E"/>
    <w:rsid w:val="00EE1134"/>
    <w:rsid w:val="00EE3975"/>
    <w:rsid w:val="00EE4F79"/>
    <w:rsid w:val="00EF2DCB"/>
    <w:rsid w:val="00EF3778"/>
    <w:rsid w:val="00F15AB5"/>
    <w:rsid w:val="00F16C49"/>
    <w:rsid w:val="00F23E1A"/>
    <w:rsid w:val="00F241FD"/>
    <w:rsid w:val="00F252F3"/>
    <w:rsid w:val="00F26FF6"/>
    <w:rsid w:val="00F2792C"/>
    <w:rsid w:val="00F302D7"/>
    <w:rsid w:val="00F348EA"/>
    <w:rsid w:val="00F44B7F"/>
    <w:rsid w:val="00F45773"/>
    <w:rsid w:val="00F47710"/>
    <w:rsid w:val="00F5212F"/>
    <w:rsid w:val="00F563BB"/>
    <w:rsid w:val="00F56540"/>
    <w:rsid w:val="00F63E3C"/>
    <w:rsid w:val="00F65332"/>
    <w:rsid w:val="00F66AFA"/>
    <w:rsid w:val="00F73788"/>
    <w:rsid w:val="00F75BAD"/>
    <w:rsid w:val="00F76130"/>
    <w:rsid w:val="00F91B94"/>
    <w:rsid w:val="00F92354"/>
    <w:rsid w:val="00F95DCF"/>
    <w:rsid w:val="00F9602D"/>
    <w:rsid w:val="00FA4149"/>
    <w:rsid w:val="00FA4B30"/>
    <w:rsid w:val="00FA6AE8"/>
    <w:rsid w:val="00FB76B0"/>
    <w:rsid w:val="00FC458F"/>
    <w:rsid w:val="00FC7BF9"/>
    <w:rsid w:val="00FD12D4"/>
    <w:rsid w:val="00FD3B9A"/>
    <w:rsid w:val="00FE3D97"/>
    <w:rsid w:val="00FF6387"/>
    <w:rsid w:val="00FF6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F7899"/>
  <w15:docId w15:val="{4ABFFEED-5BF8-4CB3-838F-C0472C46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83D"/>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07583D"/>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07583D"/>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07583D"/>
    <w:pPr>
      <w:keepNext/>
      <w:spacing w:before="360" w:after="240"/>
      <w:outlineLvl w:val="2"/>
    </w:pPr>
    <w:rPr>
      <w:b/>
      <w:bCs/>
      <w:szCs w:val="26"/>
    </w:rPr>
  </w:style>
  <w:style w:type="paragraph" w:styleId="Heading4">
    <w:name w:val="heading 4"/>
    <w:basedOn w:val="Normal"/>
    <w:next w:val="Normal"/>
    <w:link w:val="Heading4Char"/>
    <w:uiPriority w:val="9"/>
    <w:unhideWhenUsed/>
    <w:rsid w:val="0007583D"/>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07583D"/>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7C22BE"/>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07583D"/>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07583D"/>
    <w:pPr>
      <w:pageBreakBefore/>
      <w:spacing w:before="3000"/>
      <w:jc w:val="center"/>
    </w:pPr>
    <w:rPr>
      <w:i/>
    </w:rPr>
  </w:style>
  <w:style w:type="paragraph" w:styleId="BodyText">
    <w:name w:val="Body Text"/>
    <w:basedOn w:val="Normal"/>
    <w:link w:val="BodyTextChar"/>
    <w:qFormat/>
    <w:rsid w:val="0007583D"/>
    <w:pPr>
      <w:spacing w:before="240"/>
      <w:jc w:val="both"/>
    </w:pPr>
  </w:style>
  <w:style w:type="character" w:customStyle="1" w:styleId="BodyTextChar">
    <w:name w:val="Body Text Char"/>
    <w:link w:val="BodyText"/>
    <w:rsid w:val="0007583D"/>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07583D"/>
    <w:pPr>
      <w:keepNext/>
      <w:spacing w:before="240" w:after="120"/>
      <w:ind w:left="720" w:right="720"/>
      <w:contextualSpacing/>
      <w:jc w:val="center"/>
    </w:pPr>
    <w:rPr>
      <w:b/>
      <w:bCs/>
      <w:szCs w:val="18"/>
    </w:rPr>
  </w:style>
  <w:style w:type="character" w:customStyle="1" w:styleId="Heading3Char">
    <w:name w:val="Heading 3 Char"/>
    <w:link w:val="Heading3"/>
    <w:rsid w:val="0007583D"/>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07583D"/>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07583D"/>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07583D"/>
  </w:style>
  <w:style w:type="paragraph" w:styleId="Footer">
    <w:name w:val="footer"/>
    <w:basedOn w:val="BodyText"/>
    <w:link w:val="FooterChar"/>
    <w:uiPriority w:val="9"/>
    <w:rsid w:val="0007583D"/>
    <w:pPr>
      <w:tabs>
        <w:tab w:val="right" w:pos="9360"/>
      </w:tabs>
      <w:contextualSpacing/>
    </w:pPr>
  </w:style>
  <w:style w:type="character" w:customStyle="1" w:styleId="FooterChar">
    <w:name w:val="Footer Char"/>
    <w:basedOn w:val="DefaultParagraphFont"/>
    <w:link w:val="Footer"/>
    <w:uiPriority w:val="9"/>
    <w:rsid w:val="0007583D"/>
    <w:rPr>
      <w:rFonts w:ascii="Times New Roman" w:eastAsia="Times New Roman" w:hAnsi="Times New Roman" w:cs="Times New Roman"/>
      <w:sz w:val="24"/>
      <w:szCs w:val="24"/>
    </w:rPr>
  </w:style>
  <w:style w:type="paragraph" w:styleId="Header">
    <w:name w:val="header"/>
    <w:basedOn w:val="Normal"/>
    <w:link w:val="HeaderChar"/>
    <w:uiPriority w:val="9"/>
    <w:rsid w:val="0007583D"/>
    <w:pPr>
      <w:tabs>
        <w:tab w:val="center" w:pos="4680"/>
        <w:tab w:val="right" w:pos="9360"/>
      </w:tabs>
      <w:spacing w:after="240"/>
      <w:contextualSpacing/>
    </w:pPr>
  </w:style>
  <w:style w:type="character" w:customStyle="1" w:styleId="HeaderChar">
    <w:name w:val="Header Char"/>
    <w:link w:val="Header"/>
    <w:uiPriority w:val="9"/>
    <w:rsid w:val="0007583D"/>
    <w:rPr>
      <w:rFonts w:ascii="Times New Roman" w:eastAsia="Times New Roman" w:hAnsi="Times New Roman" w:cs="Times New Roman"/>
      <w:sz w:val="24"/>
      <w:szCs w:val="24"/>
    </w:rPr>
  </w:style>
  <w:style w:type="character" w:customStyle="1" w:styleId="Heading1Char">
    <w:name w:val="Heading 1 Char"/>
    <w:link w:val="Heading1"/>
    <w:uiPriority w:val="9"/>
    <w:rsid w:val="0007583D"/>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07583D"/>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7C22BE"/>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07583D"/>
    <w:pPr>
      <w:ind w:left="360"/>
    </w:pPr>
  </w:style>
  <w:style w:type="paragraph" w:customStyle="1" w:styleId="Indent1Tight">
    <w:name w:val="Indent 1 Tight"/>
    <w:basedOn w:val="Indent1"/>
    <w:uiPriority w:val="1"/>
    <w:qFormat/>
    <w:rsid w:val="0007583D"/>
    <w:pPr>
      <w:spacing w:before="120"/>
    </w:pPr>
    <w:rPr>
      <w:szCs w:val="20"/>
    </w:rPr>
  </w:style>
  <w:style w:type="paragraph" w:customStyle="1" w:styleId="Indent2">
    <w:name w:val="Indent 2"/>
    <w:basedOn w:val="BodyText"/>
    <w:qFormat/>
    <w:rsid w:val="0007583D"/>
    <w:pPr>
      <w:ind w:left="720"/>
    </w:pPr>
  </w:style>
  <w:style w:type="paragraph" w:customStyle="1" w:styleId="Indent2Tight">
    <w:name w:val="Indent 2 Tight"/>
    <w:basedOn w:val="Indent2"/>
    <w:uiPriority w:val="1"/>
    <w:qFormat/>
    <w:rsid w:val="0007583D"/>
    <w:pPr>
      <w:contextualSpacing/>
    </w:pPr>
  </w:style>
  <w:style w:type="paragraph" w:customStyle="1" w:styleId="Indent3">
    <w:name w:val="Indent 3"/>
    <w:basedOn w:val="BodyText"/>
    <w:qFormat/>
    <w:rsid w:val="0007583D"/>
    <w:pPr>
      <w:spacing w:before="180"/>
      <w:ind w:left="1080"/>
    </w:pPr>
  </w:style>
  <w:style w:type="paragraph" w:customStyle="1" w:styleId="Indent4">
    <w:name w:val="Indent 4"/>
    <w:basedOn w:val="BodyText"/>
    <w:qFormat/>
    <w:rsid w:val="0007583D"/>
    <w:pPr>
      <w:spacing w:before="120"/>
      <w:ind w:left="1440"/>
    </w:pPr>
    <w:rPr>
      <w:iCs/>
      <w:szCs w:val="20"/>
    </w:rPr>
  </w:style>
  <w:style w:type="paragraph" w:customStyle="1" w:styleId="Instructions">
    <w:name w:val="Instructions"/>
    <w:basedOn w:val="BodyText"/>
    <w:next w:val="BodyText"/>
    <w:link w:val="InstructionsChar"/>
    <w:qFormat/>
    <w:rsid w:val="0007583D"/>
    <w:pPr>
      <w:keepNext/>
      <w:spacing w:after="120"/>
    </w:pPr>
    <w:rPr>
      <w:u w:val="single"/>
    </w:rPr>
  </w:style>
  <w:style w:type="character" w:customStyle="1" w:styleId="InstructionsChar">
    <w:name w:val="Instructions Char"/>
    <w:basedOn w:val="DefaultParagraphFont"/>
    <w:link w:val="Instructions"/>
    <w:rsid w:val="0007583D"/>
    <w:rPr>
      <w:rFonts w:ascii="Times New Roman" w:eastAsia="Times New Roman" w:hAnsi="Times New Roman" w:cs="Times New Roman"/>
      <w:sz w:val="24"/>
      <w:szCs w:val="24"/>
      <w:u w:val="single"/>
    </w:rPr>
  </w:style>
  <w:style w:type="paragraph" w:customStyle="1" w:styleId="Materials">
    <w:name w:val="Materials"/>
    <w:basedOn w:val="Normal"/>
    <w:qFormat/>
    <w:rsid w:val="0007583D"/>
    <w:pPr>
      <w:tabs>
        <w:tab w:val="left" w:pos="5757"/>
      </w:tabs>
      <w:spacing w:before="120"/>
      <w:ind w:left="360"/>
      <w:contextualSpacing/>
    </w:pPr>
  </w:style>
  <w:style w:type="paragraph" w:customStyle="1" w:styleId="Revisiondate">
    <w:name w:val="Revision date"/>
    <w:basedOn w:val="Normal"/>
    <w:next w:val="Heading3"/>
    <w:uiPriority w:val="4"/>
    <w:rsid w:val="0007583D"/>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07583D"/>
    <w:pPr>
      <w:keepNext/>
      <w:tabs>
        <w:tab w:val="right" w:pos="9360"/>
      </w:tabs>
      <w:spacing w:before="300" w:after="120"/>
    </w:pPr>
    <w:rPr>
      <w:b/>
    </w:rPr>
  </w:style>
  <w:style w:type="paragraph" w:styleId="TOC2">
    <w:name w:val="toc 2"/>
    <w:basedOn w:val="Normal"/>
    <w:next w:val="Normal"/>
    <w:autoRedefine/>
    <w:uiPriority w:val="39"/>
    <w:rsid w:val="0007583D"/>
    <w:pPr>
      <w:tabs>
        <w:tab w:val="right" w:leader="dot" w:pos="9360"/>
      </w:tabs>
      <w:ind w:left="1944" w:right="1080" w:hanging="1584"/>
    </w:pPr>
  </w:style>
  <w:style w:type="character" w:styleId="Hyperlink">
    <w:name w:val="Hyperlink"/>
    <w:uiPriority w:val="99"/>
    <w:rsid w:val="0007583D"/>
    <w:rPr>
      <w:color w:val="0000FF"/>
      <w:u w:val="single"/>
    </w:rPr>
  </w:style>
  <w:style w:type="paragraph" w:styleId="BalloonText">
    <w:name w:val="Balloon Text"/>
    <w:basedOn w:val="Normal"/>
    <w:link w:val="BalloonTextChar"/>
    <w:uiPriority w:val="99"/>
    <w:semiHidden/>
    <w:unhideWhenUsed/>
    <w:rsid w:val="007C22BE"/>
    <w:rPr>
      <w:rFonts w:ascii="Tahoma" w:hAnsi="Tahoma" w:cs="Tahoma"/>
      <w:sz w:val="16"/>
      <w:szCs w:val="16"/>
    </w:rPr>
  </w:style>
  <w:style w:type="character" w:customStyle="1" w:styleId="BalloonTextChar">
    <w:name w:val="Balloon Text Char"/>
    <w:basedOn w:val="DefaultParagraphFont"/>
    <w:link w:val="BalloonText"/>
    <w:uiPriority w:val="99"/>
    <w:semiHidden/>
    <w:rsid w:val="007C22BE"/>
    <w:rPr>
      <w:rFonts w:ascii="Tahoma" w:eastAsia="Times New Roman" w:hAnsi="Tahoma" w:cs="Tahoma"/>
      <w:sz w:val="16"/>
      <w:szCs w:val="16"/>
    </w:rPr>
  </w:style>
  <w:style w:type="paragraph" w:styleId="Subtitle">
    <w:name w:val="Subtitle"/>
    <w:basedOn w:val="BodyText"/>
    <w:next w:val="Heading3"/>
    <w:link w:val="SubtitleChar"/>
    <w:qFormat/>
    <w:rsid w:val="0007583D"/>
    <w:pPr>
      <w:keepNext/>
      <w:spacing w:before="360"/>
      <w:jc w:val="center"/>
    </w:pPr>
    <w:rPr>
      <w:b/>
    </w:rPr>
  </w:style>
  <w:style w:type="character" w:customStyle="1" w:styleId="SubtitleChar">
    <w:name w:val="Subtitle Char"/>
    <w:basedOn w:val="DefaultParagraphFont"/>
    <w:link w:val="Subtitle"/>
    <w:rsid w:val="0007583D"/>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07583D"/>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7C22BE"/>
    <w:rPr>
      <w:color w:val="808080"/>
    </w:rPr>
  </w:style>
  <w:style w:type="character" w:customStyle="1" w:styleId="SectionName">
    <w:name w:val="Section Name"/>
    <w:basedOn w:val="DefaultParagraphFont"/>
    <w:uiPriority w:val="1"/>
    <w:qFormat/>
    <w:rsid w:val="0007583D"/>
    <w:rPr>
      <w:caps/>
      <w:smallCaps w:val="0"/>
    </w:rPr>
  </w:style>
  <w:style w:type="character" w:customStyle="1" w:styleId="Heading4Char">
    <w:name w:val="Heading 4 Char"/>
    <w:basedOn w:val="DefaultParagraphFont"/>
    <w:link w:val="Heading4"/>
    <w:uiPriority w:val="9"/>
    <w:rsid w:val="0007583D"/>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07583D"/>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paragraph" w:customStyle="1" w:styleId="Table109-2SubHeading">
    <w:name w:val="Table 109-2 SubHeading"/>
    <w:basedOn w:val="Normal"/>
    <w:next w:val="Table109-2Item"/>
    <w:qFormat/>
    <w:rsid w:val="00A53459"/>
    <w:pPr>
      <w:ind w:left="1440" w:hanging="1440"/>
    </w:pPr>
    <w:rPr>
      <w:b/>
      <w:sz w:val="22"/>
    </w:rPr>
  </w:style>
  <w:style w:type="paragraph" w:customStyle="1" w:styleId="Table109-2Item">
    <w:name w:val="Table 109-2 Item"/>
    <w:basedOn w:val="Normal"/>
    <w:qFormat/>
    <w:rsid w:val="00A53459"/>
    <w:pPr>
      <w:ind w:left="1080" w:hanging="720"/>
    </w:pPr>
    <w:rPr>
      <w:sz w:val="22"/>
    </w:rPr>
  </w:style>
  <w:style w:type="character" w:customStyle="1" w:styleId="Heading5Char">
    <w:name w:val="Heading 5 Char"/>
    <w:basedOn w:val="DefaultParagraphFont"/>
    <w:link w:val="Heading5"/>
    <w:uiPriority w:val="9"/>
    <w:semiHidden/>
    <w:rsid w:val="0007583D"/>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545A07"/>
    <w:rPr>
      <w:color w:val="800080" w:themeColor="followedHyperlink"/>
      <w:u w:val="single"/>
    </w:rPr>
  </w:style>
  <w:style w:type="character" w:styleId="UnresolvedMention">
    <w:name w:val="Unresolved Mention"/>
    <w:basedOn w:val="DefaultParagraphFont"/>
    <w:uiPriority w:val="99"/>
    <w:semiHidden/>
    <w:unhideWhenUsed/>
    <w:rsid w:val="00C538FB"/>
    <w:rPr>
      <w:color w:val="808080"/>
      <w:shd w:val="clear" w:color="auto" w:fill="E6E6E6"/>
    </w:rPr>
  </w:style>
  <w:style w:type="paragraph" w:customStyle="1" w:styleId="Indent5">
    <w:name w:val="Indent 5"/>
    <w:basedOn w:val="BodyText"/>
    <w:rsid w:val="0007583D"/>
    <w:pPr>
      <w:spacing w:before="120"/>
      <w:ind w:left="1800"/>
    </w:pPr>
  </w:style>
  <w:style w:type="character" w:customStyle="1" w:styleId="PartnerSpecific">
    <w:name w:val="Partner Specific"/>
    <w:basedOn w:val="DefaultParagraphFont"/>
    <w:qFormat/>
    <w:rsid w:val="0007583D"/>
    <w:rPr>
      <w:color w:val="0066FF"/>
    </w:rPr>
  </w:style>
  <w:style w:type="character" w:customStyle="1" w:styleId="ProjectSpecific">
    <w:name w:val="Project Specific"/>
    <w:basedOn w:val="DefaultParagraphFont"/>
    <w:qFormat/>
    <w:rsid w:val="0007583D"/>
    <w:rPr>
      <w:color w:val="00B050"/>
    </w:rPr>
  </w:style>
  <w:style w:type="character" w:styleId="CommentReference">
    <w:name w:val="annotation reference"/>
    <w:basedOn w:val="DefaultParagraphFont"/>
    <w:uiPriority w:val="99"/>
    <w:semiHidden/>
    <w:unhideWhenUsed/>
    <w:rsid w:val="00A773C1"/>
    <w:rPr>
      <w:sz w:val="16"/>
      <w:szCs w:val="16"/>
    </w:rPr>
  </w:style>
  <w:style w:type="paragraph" w:styleId="CommentText">
    <w:name w:val="annotation text"/>
    <w:basedOn w:val="Normal"/>
    <w:link w:val="CommentTextChar"/>
    <w:uiPriority w:val="99"/>
    <w:unhideWhenUsed/>
    <w:rsid w:val="00A773C1"/>
    <w:rPr>
      <w:sz w:val="20"/>
      <w:szCs w:val="20"/>
    </w:rPr>
  </w:style>
  <w:style w:type="character" w:customStyle="1" w:styleId="CommentTextChar">
    <w:name w:val="Comment Text Char"/>
    <w:basedOn w:val="DefaultParagraphFont"/>
    <w:link w:val="CommentText"/>
    <w:uiPriority w:val="99"/>
    <w:rsid w:val="00A773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73C1"/>
    <w:rPr>
      <w:b/>
      <w:bCs/>
    </w:rPr>
  </w:style>
  <w:style w:type="character" w:customStyle="1" w:styleId="CommentSubjectChar">
    <w:name w:val="Comment Subject Char"/>
    <w:basedOn w:val="CommentTextChar"/>
    <w:link w:val="CommentSubject"/>
    <w:uiPriority w:val="99"/>
    <w:semiHidden/>
    <w:rsid w:val="00A773C1"/>
    <w:rPr>
      <w:rFonts w:ascii="Times New Roman" w:eastAsia="Times New Roman" w:hAnsi="Times New Roman" w:cs="Times New Roman"/>
      <w:b/>
      <w:bCs/>
      <w:sz w:val="20"/>
      <w:szCs w:val="20"/>
    </w:rPr>
  </w:style>
  <w:style w:type="paragraph" w:styleId="Revision">
    <w:name w:val="Revision"/>
    <w:hidden/>
    <w:uiPriority w:val="99"/>
    <w:semiHidden/>
    <w:rsid w:val="00112B3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8378">
      <w:bodyDiv w:val="1"/>
      <w:marLeft w:val="0"/>
      <w:marRight w:val="0"/>
      <w:marTop w:val="0"/>
      <w:marBottom w:val="0"/>
      <w:divBdr>
        <w:top w:val="none" w:sz="0" w:space="0" w:color="auto"/>
        <w:left w:val="none" w:sz="0" w:space="0" w:color="auto"/>
        <w:bottom w:val="none" w:sz="0" w:space="0" w:color="auto"/>
        <w:right w:val="none" w:sz="0" w:space="0" w:color="auto"/>
      </w:divBdr>
    </w:div>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ighways.dot.gov/federal-lands/business/escalation-factors-wf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lh.fhwa.dot.gov/resources/design/pddm/wfl/ch09/9.6.8.6-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ghways.dot.gov/federal-lands/construction/forms-wf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ighways.dot.gov/federal-lands/business/escalation-factors-wf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w-work\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6" ma:contentTypeDescription="Create a new document." ma:contentTypeScope="" ma:versionID="8e6dfc0798c4dd9798f30c14334a8285">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d4d3dbdf0287143fdc30f254e001bacc"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3B9466-5840-40DC-BCD8-A9143948607A}">
  <ds:schemaRefs>
    <ds:schemaRef ds:uri="http://schemas.openxmlformats.org/officeDocument/2006/bibliography"/>
  </ds:schemaRefs>
</ds:datastoreItem>
</file>

<file path=customXml/itemProps2.xml><?xml version="1.0" encoding="utf-8"?>
<ds:datastoreItem xmlns:ds="http://schemas.openxmlformats.org/officeDocument/2006/customXml" ds:itemID="{E9AF5496-B581-421E-AA5E-0B7E59A51D66}">
  <ds:schemaRefs>
    <ds:schemaRef ds:uri="http://schemas.microsoft.com/sharepoint/v3/contenttype/forms"/>
  </ds:schemaRefs>
</ds:datastoreItem>
</file>

<file path=customXml/itemProps3.xml><?xml version="1.0" encoding="utf-8"?>
<ds:datastoreItem xmlns:ds="http://schemas.openxmlformats.org/officeDocument/2006/customXml" ds:itemID="{70B5C5AA-99E8-4DCB-A309-E4F7A5B99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8F148-39D1-4525-81C2-F83D6E4C48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fp14scr.dotx</Template>
  <TotalTime>638</TotalTime>
  <Pages>12</Pages>
  <Words>3712</Words>
  <Characters>21160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109: Measurement and Payment</vt:lpstr>
    </vt:vector>
  </TitlesOfParts>
  <Company/>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 Measurement and Payment</dc:title>
  <dc:subject>Special Contract Requirements (SCR)</dc:subject>
  <dc:creator>Choy, Clinton (FHWA)</dc:creator>
  <cp:keywords/>
  <cp:lastModifiedBy>Mariman, David (FHWA)</cp:lastModifiedBy>
  <cp:revision>132</cp:revision>
  <cp:lastPrinted>2020-03-04T15:18:00Z</cp:lastPrinted>
  <dcterms:created xsi:type="dcterms:W3CDTF">2022-05-18T19:54:00Z</dcterms:created>
  <dcterms:modified xsi:type="dcterms:W3CDTF">2025-03-27T20:33:00Z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ies>
</file>