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F0" w:rsidRDefault="00E4607D" w:rsidP="00E4607D">
      <w:pPr>
        <w:rPr>
          <w:i/>
          <w:vanish/>
          <w:highlight w:val="yellow"/>
        </w:rPr>
      </w:pPr>
      <w:r w:rsidRPr="00E4607D">
        <w:rPr>
          <w:i/>
          <w:vanish/>
          <w:highlight w:val="yellow"/>
        </w:rPr>
        <w:t xml:space="preserve">INCLUDE SECTION 645 </w:t>
      </w:r>
      <w:r w:rsidR="002C3DF4">
        <w:rPr>
          <w:i/>
          <w:vanish/>
          <w:highlight w:val="yellow"/>
        </w:rPr>
        <w:t xml:space="preserve">ON PROJECTS WHERE THERE ARE </w:t>
      </w:r>
      <w:r w:rsidR="00115949">
        <w:rPr>
          <w:i/>
          <w:vanish/>
          <w:highlight w:val="yellow"/>
        </w:rPr>
        <w:t xml:space="preserve">UNDERGROUND UTILITIES PRESENT </w:t>
      </w:r>
      <w:r w:rsidR="002C3DF4">
        <w:rPr>
          <w:i/>
          <w:vanish/>
          <w:highlight w:val="yellow"/>
        </w:rPr>
        <w:t xml:space="preserve">OR </w:t>
      </w:r>
      <w:r w:rsidR="00115949">
        <w:rPr>
          <w:i/>
          <w:vanish/>
          <w:highlight w:val="yellow"/>
        </w:rPr>
        <w:t xml:space="preserve">IF </w:t>
      </w:r>
      <w:r w:rsidR="002C3DF4">
        <w:rPr>
          <w:i/>
          <w:vanish/>
          <w:highlight w:val="yellow"/>
        </w:rPr>
        <w:t xml:space="preserve">THERE IS THE POSSIBILITY OF </w:t>
      </w:r>
      <w:r w:rsidR="00115949">
        <w:rPr>
          <w:i/>
          <w:vanish/>
          <w:highlight w:val="yellow"/>
        </w:rPr>
        <w:t>ENCOUNTERING THEM</w:t>
      </w:r>
    </w:p>
    <w:p w:rsidR="00F579F0" w:rsidRDefault="00F579F0" w:rsidP="00E4607D">
      <w:pPr>
        <w:rPr>
          <w:i/>
          <w:vanish/>
          <w:highlight w:val="yellow"/>
        </w:rPr>
      </w:pPr>
    </w:p>
    <w:p w:rsidR="006D4180" w:rsidRPr="00E4607D" w:rsidRDefault="00F579F0" w:rsidP="00E4607D">
      <w:pPr>
        <w:rPr>
          <w:i/>
          <w:vanish/>
        </w:rPr>
      </w:pPr>
      <w:r>
        <w:rPr>
          <w:i/>
          <w:iCs/>
          <w:vanish/>
          <w:highlight w:val="yellow"/>
        </w:rPr>
        <w:t>REMOVE ITALICS AND PARENTHESES FROM INSERT FIELDS</w:t>
      </w:r>
      <w:r w:rsidRPr="00E4607D" w:rsidDel="00E4607D">
        <w:rPr>
          <w:i/>
          <w:vanish/>
          <w:highlight w:val="yellow"/>
        </w:rPr>
        <w:t xml:space="preserve"> </w:t>
      </w:r>
    </w:p>
    <w:p w:rsidR="006D4180" w:rsidRPr="00E4607D" w:rsidRDefault="00A06508" w:rsidP="00E4607D">
      <w:pPr>
        <w:ind w:hanging="720"/>
        <w:rPr>
          <w:vanish/>
        </w:rPr>
      </w:pPr>
      <w:r w:rsidRPr="00E4607D">
        <w:rPr>
          <w:vanish/>
        </w:rPr>
        <w:t>$$645.00A</w:t>
      </w:r>
    </w:p>
    <w:p w:rsidR="00E4607D" w:rsidRDefault="00E4607D" w:rsidP="00E4607D">
      <w:r w:rsidRPr="00E4607D">
        <w:t>Add the following after Section 637:</w:t>
      </w:r>
    </w:p>
    <w:p w:rsidR="00A71DD5" w:rsidRPr="00E4607D" w:rsidRDefault="00A71DD5" w:rsidP="00E4607D"/>
    <w:p w:rsidR="006D4180" w:rsidRPr="00E4607D" w:rsidRDefault="00A06508" w:rsidP="00E4607D">
      <w:pPr>
        <w:jc w:val="center"/>
        <w:rPr>
          <w:b/>
        </w:rPr>
      </w:pPr>
      <w:proofErr w:type="gramStart"/>
      <w:r w:rsidRPr="00E4607D">
        <w:rPr>
          <w:b/>
        </w:rPr>
        <w:t>Section 645.</w:t>
      </w:r>
      <w:proofErr w:type="gramEnd"/>
      <w:r w:rsidR="00675EEB">
        <w:rPr>
          <w:b/>
        </w:rPr>
        <w:t xml:space="preserve"> </w:t>
      </w:r>
      <w:r w:rsidRPr="00E4607D">
        <w:rPr>
          <w:b/>
        </w:rPr>
        <w:t>—</w:t>
      </w:r>
      <w:r w:rsidR="00675EEB">
        <w:rPr>
          <w:b/>
        </w:rPr>
        <w:t xml:space="preserve"> </w:t>
      </w:r>
      <w:r w:rsidRPr="00E4607D">
        <w:rPr>
          <w:b/>
        </w:rPr>
        <w:t>LOCATING UTILITIES</w:t>
      </w:r>
    </w:p>
    <w:p w:rsidR="006D4180" w:rsidRPr="00E4607D" w:rsidRDefault="00A06508" w:rsidP="00E4607D">
      <w:pPr>
        <w:jc w:val="center"/>
        <w:rPr>
          <w:vanish/>
          <w:color w:val="FF0000"/>
          <w:sz w:val="20"/>
          <w:highlight w:val="yellow"/>
        </w:rPr>
      </w:pPr>
      <w:r w:rsidRPr="00E4607D">
        <w:rPr>
          <w:vanish/>
          <w:color w:val="FF0000"/>
          <w:sz w:val="20"/>
        </w:rPr>
        <w:t xml:space="preserve">Revised </w:t>
      </w:r>
      <w:r w:rsidR="00D24220">
        <w:rPr>
          <w:vanish/>
          <w:color w:val="FF0000"/>
          <w:sz w:val="20"/>
        </w:rPr>
        <w:t>2</w:t>
      </w:r>
      <w:r w:rsidR="009B1D37">
        <w:rPr>
          <w:vanish/>
          <w:color w:val="FF0000"/>
          <w:sz w:val="20"/>
        </w:rPr>
        <w:t>6</w:t>
      </w:r>
      <w:r w:rsidR="00D24220">
        <w:rPr>
          <w:vanish/>
          <w:color w:val="FF0000"/>
          <w:sz w:val="20"/>
        </w:rPr>
        <w:t xml:space="preserve"> </w:t>
      </w:r>
      <w:r w:rsidR="00F579F0">
        <w:rPr>
          <w:vanish/>
          <w:color w:val="FF0000"/>
          <w:sz w:val="20"/>
        </w:rPr>
        <w:t>May</w:t>
      </w:r>
      <w:r w:rsidR="00A71DD5">
        <w:rPr>
          <w:vanish/>
          <w:color w:val="FF0000"/>
          <w:sz w:val="20"/>
        </w:rPr>
        <w:t xml:space="preserve"> 2016</w:t>
      </w:r>
    </w:p>
    <w:p w:rsidR="00951084" w:rsidRDefault="00951084" w:rsidP="00951084"/>
    <w:p w:rsidR="00951084" w:rsidRPr="00E4607D" w:rsidRDefault="00951084" w:rsidP="00951084">
      <w:pPr>
        <w:rPr>
          <w:i/>
          <w:vanish/>
        </w:rPr>
      </w:pPr>
      <w:r>
        <w:rPr>
          <w:i/>
          <w:vanish/>
          <w:highlight w:val="yellow"/>
        </w:rPr>
        <w:t>INCLUDE CLAUSES $$645.01A</w:t>
      </w:r>
      <w:r w:rsidR="00A66CDD">
        <w:rPr>
          <w:i/>
          <w:vanish/>
          <w:highlight w:val="yellow"/>
        </w:rPr>
        <w:t>, $$645.02A, $$645.03A, $$645.04A, $$645.05A, $$645.06A, $$645.07A, $$645.08A, AND</w:t>
      </w:r>
      <w:r>
        <w:rPr>
          <w:i/>
          <w:vanish/>
          <w:highlight w:val="yellow"/>
        </w:rPr>
        <w:t xml:space="preserve"> $$645.09</w:t>
      </w:r>
      <w:r w:rsidRPr="00951084">
        <w:rPr>
          <w:i/>
          <w:vanish/>
          <w:highlight w:val="yellow"/>
        </w:rPr>
        <w:t>A</w:t>
      </w:r>
    </w:p>
    <w:p w:rsidR="00951084" w:rsidRPr="00014258" w:rsidRDefault="00951084" w:rsidP="00014258">
      <w:pPr>
        <w:ind w:hanging="720"/>
        <w:rPr>
          <w:vanish/>
        </w:rPr>
      </w:pPr>
      <w:r w:rsidRPr="00E4607D">
        <w:rPr>
          <w:vanish/>
        </w:rPr>
        <w:t>$$645.0</w:t>
      </w:r>
      <w:r>
        <w:rPr>
          <w:vanish/>
        </w:rPr>
        <w:t>1</w:t>
      </w:r>
      <w:r w:rsidRPr="00E4607D">
        <w:rPr>
          <w:vanish/>
        </w:rPr>
        <w:t>A</w:t>
      </w:r>
    </w:p>
    <w:p w:rsidR="006D4180" w:rsidRPr="00E4607D" w:rsidRDefault="00A06508" w:rsidP="00E4607D">
      <w:pPr>
        <w:jc w:val="center"/>
        <w:rPr>
          <w:b/>
        </w:rPr>
      </w:pPr>
      <w:r w:rsidRPr="00E4607D">
        <w:rPr>
          <w:b/>
        </w:rPr>
        <w:t>Description</w:t>
      </w:r>
    </w:p>
    <w:p w:rsidR="006D4180" w:rsidRPr="00E4607D" w:rsidRDefault="006D4180" w:rsidP="00E4607D"/>
    <w:p w:rsidR="006D4180" w:rsidRDefault="00A06508" w:rsidP="00E4607D">
      <w:proofErr w:type="gramStart"/>
      <w:r w:rsidRPr="00E4607D">
        <w:rPr>
          <w:b/>
        </w:rPr>
        <w:t>645.01</w:t>
      </w:r>
      <w:r w:rsidRPr="00E4607D">
        <w:t xml:space="preserve">  This</w:t>
      </w:r>
      <w:proofErr w:type="gramEnd"/>
      <w:r w:rsidRPr="00E4607D">
        <w:t xml:space="preserve"> work consists of locating and marking existing utilities</w:t>
      </w:r>
      <w:r w:rsidR="003B4BDE">
        <w:t>.</w:t>
      </w:r>
    </w:p>
    <w:p w:rsidR="00515847" w:rsidRPr="00E4607D" w:rsidRDefault="00515847" w:rsidP="00E4607D"/>
    <w:p w:rsidR="00951084" w:rsidRPr="0047413D" w:rsidRDefault="00951084" w:rsidP="00951084">
      <w:pPr>
        <w:ind w:hanging="720"/>
        <w:rPr>
          <w:vanish/>
        </w:rPr>
      </w:pPr>
      <w:r w:rsidRPr="00E4607D">
        <w:rPr>
          <w:vanish/>
        </w:rPr>
        <w:t>$$645.0</w:t>
      </w:r>
      <w:r>
        <w:rPr>
          <w:vanish/>
        </w:rPr>
        <w:t>2</w:t>
      </w:r>
      <w:r w:rsidRPr="00E4607D">
        <w:rPr>
          <w:vanish/>
        </w:rPr>
        <w:t>A</w:t>
      </w:r>
    </w:p>
    <w:p w:rsidR="006D4180" w:rsidRPr="00E4607D" w:rsidRDefault="00A06508" w:rsidP="00E4607D">
      <w:pPr>
        <w:jc w:val="center"/>
        <w:rPr>
          <w:b/>
        </w:rPr>
      </w:pPr>
      <w:r w:rsidRPr="00E4607D">
        <w:rPr>
          <w:b/>
        </w:rPr>
        <w:t>Material</w:t>
      </w:r>
    </w:p>
    <w:p w:rsidR="006D4180" w:rsidRPr="00E4607D" w:rsidRDefault="006D4180" w:rsidP="00E4607D"/>
    <w:p w:rsidR="00CC7234" w:rsidRPr="00E4607D" w:rsidRDefault="00A06508" w:rsidP="00CC7234">
      <w:proofErr w:type="gramStart"/>
      <w:r w:rsidRPr="00E4607D">
        <w:rPr>
          <w:b/>
        </w:rPr>
        <w:t>645.02</w:t>
      </w:r>
      <w:r w:rsidR="00CC7234" w:rsidRPr="00CC7234">
        <w:t xml:space="preserve"> </w:t>
      </w:r>
      <w:r w:rsidR="00CC7234">
        <w:t xml:space="preserve"> </w:t>
      </w:r>
      <w:r w:rsidR="00574523">
        <w:t>Replac</w:t>
      </w:r>
      <w:r w:rsidR="009D5DE1">
        <w:t>e</w:t>
      </w:r>
      <w:proofErr w:type="gramEnd"/>
      <w:r w:rsidR="00E07D93">
        <w:t xml:space="preserve"> excavated</w:t>
      </w:r>
      <w:r w:rsidR="009F5E96">
        <w:t xml:space="preserve"> materials</w:t>
      </w:r>
      <w:r w:rsidR="00E07D93">
        <w:t xml:space="preserve"> with </w:t>
      </w:r>
      <w:r w:rsidR="009F5E96">
        <w:t>equivalent</w:t>
      </w:r>
      <w:r w:rsidR="00C070CB">
        <w:t xml:space="preserve"> </w:t>
      </w:r>
      <w:r w:rsidR="002565EC">
        <w:t>material</w:t>
      </w:r>
      <w:r w:rsidR="00C070CB">
        <w:t>s</w:t>
      </w:r>
      <w:r w:rsidR="00A604EE">
        <w:t xml:space="preserve"> </w:t>
      </w:r>
      <w:r w:rsidR="00574523">
        <w:t xml:space="preserve">that </w:t>
      </w:r>
      <w:r w:rsidR="00A604EE">
        <w:t>m</w:t>
      </w:r>
      <w:r w:rsidR="00C070CB">
        <w:t>eet</w:t>
      </w:r>
      <w:r w:rsidR="002565EC">
        <w:t xml:space="preserve"> the applicable requirements</w:t>
      </w:r>
      <w:r w:rsidR="00E07D93">
        <w:t xml:space="preserve"> of this specification.</w:t>
      </w:r>
    </w:p>
    <w:p w:rsidR="00F579F0" w:rsidRDefault="00F579F0" w:rsidP="00753566">
      <w:pPr>
        <w:ind w:left="-720"/>
        <w:rPr>
          <w:vanish/>
        </w:rPr>
      </w:pPr>
    </w:p>
    <w:p w:rsidR="00951084" w:rsidRPr="00CC7234" w:rsidRDefault="00951084" w:rsidP="00753566">
      <w:pPr>
        <w:ind w:left="-720"/>
      </w:pPr>
      <w:r w:rsidRPr="00E4607D">
        <w:rPr>
          <w:vanish/>
        </w:rPr>
        <w:t>$$645.0</w:t>
      </w:r>
      <w:r>
        <w:rPr>
          <w:vanish/>
        </w:rPr>
        <w:t>3</w:t>
      </w:r>
      <w:r w:rsidRPr="00E4607D">
        <w:rPr>
          <w:vanish/>
        </w:rPr>
        <w:t>A</w:t>
      </w:r>
    </w:p>
    <w:p w:rsidR="006D4180" w:rsidRPr="00E4607D" w:rsidRDefault="00A06508" w:rsidP="00E4607D">
      <w:pPr>
        <w:jc w:val="center"/>
        <w:rPr>
          <w:b/>
        </w:rPr>
      </w:pPr>
      <w:r w:rsidRPr="00E4607D">
        <w:rPr>
          <w:b/>
        </w:rPr>
        <w:t>Construction Requirements</w:t>
      </w:r>
    </w:p>
    <w:p w:rsidR="006D4180" w:rsidRDefault="006D4180" w:rsidP="00E4607D"/>
    <w:p w:rsidR="006D4180" w:rsidRPr="00E4607D" w:rsidRDefault="00A06508">
      <w:proofErr w:type="gramStart"/>
      <w:r w:rsidRPr="00E4607D">
        <w:rPr>
          <w:b/>
        </w:rPr>
        <w:t>645.03  General</w:t>
      </w:r>
      <w:proofErr w:type="gramEnd"/>
      <w:r w:rsidRPr="00E4607D">
        <w:rPr>
          <w:b/>
        </w:rPr>
        <w:t>.</w:t>
      </w:r>
      <w:r w:rsidRPr="00E4607D">
        <w:t xml:space="preserve">  </w:t>
      </w:r>
      <w:proofErr w:type="gramStart"/>
      <w:r w:rsidR="00116F70">
        <w:t>Contact</w:t>
      </w:r>
      <w:r w:rsidR="00116F70" w:rsidRPr="004C03A0">
        <w:t xml:space="preserve"> </w:t>
      </w:r>
      <w:r w:rsidR="00116F70" w:rsidRPr="004C03A0">
        <w:rPr>
          <w:i/>
          <w:iCs/>
          <w:highlight w:val="yellow"/>
        </w:rPr>
        <w:t>(insert name of local locator service)</w:t>
      </w:r>
      <w:r w:rsidR="00116F70" w:rsidRPr="004C03A0">
        <w:t xml:space="preserve"> </w:t>
      </w:r>
      <w:r w:rsidR="00116F70">
        <w:t xml:space="preserve">at </w:t>
      </w:r>
      <w:r w:rsidR="00116F70" w:rsidRPr="004C03A0">
        <w:rPr>
          <w:i/>
          <w:iCs/>
          <w:highlight w:val="yellow"/>
        </w:rPr>
        <w:t>(insert phone number)</w:t>
      </w:r>
      <w:r w:rsidR="00116F70">
        <w:rPr>
          <w:i/>
          <w:iCs/>
        </w:rPr>
        <w:t xml:space="preserve">, </w:t>
      </w:r>
      <w:r w:rsidR="00116F70" w:rsidRPr="00CC1063">
        <w:rPr>
          <w:iCs/>
        </w:rPr>
        <w:t xml:space="preserve">or online at </w:t>
      </w:r>
      <w:r w:rsidR="00116F70" w:rsidRPr="004C03A0">
        <w:rPr>
          <w:i/>
          <w:iCs/>
          <w:highlight w:val="yellow"/>
        </w:rPr>
        <w:t xml:space="preserve">(insert </w:t>
      </w:r>
      <w:r w:rsidR="000179F8">
        <w:rPr>
          <w:i/>
          <w:iCs/>
          <w:highlight w:val="yellow"/>
        </w:rPr>
        <w:t>web address</w:t>
      </w:r>
      <w:r w:rsidR="00116F70" w:rsidRPr="004C03A0">
        <w:rPr>
          <w:i/>
          <w:iCs/>
          <w:highlight w:val="yellow"/>
        </w:rPr>
        <w:t>)</w:t>
      </w:r>
      <w:r w:rsidR="00116F70">
        <w:rPr>
          <w:i/>
          <w:iCs/>
        </w:rPr>
        <w:t xml:space="preserve">, </w:t>
      </w:r>
      <w:r w:rsidR="00116F70" w:rsidRPr="00CC1063">
        <w:rPr>
          <w:iCs/>
        </w:rPr>
        <w:t xml:space="preserve">at least </w:t>
      </w:r>
      <w:r w:rsidRPr="00F579F0">
        <w:rPr>
          <w:highlight w:val="yellow"/>
        </w:rPr>
        <w:t>48</w:t>
      </w:r>
      <w:r w:rsidRPr="00E4607D">
        <w:t xml:space="preserve"> hours </w:t>
      </w:r>
      <w:r w:rsidR="007436B0">
        <w:t>before</w:t>
      </w:r>
      <w:r w:rsidRPr="00E4607D">
        <w:t xml:space="preserve"> any excavation</w:t>
      </w:r>
      <w:r w:rsidR="00116F70">
        <w:t xml:space="preserve"> </w:t>
      </w:r>
      <w:r w:rsidRPr="00E4607D">
        <w:t>to have the utilities marked in the field.</w:t>
      </w:r>
      <w:proofErr w:type="gramEnd"/>
      <w:r w:rsidR="007436B0" w:rsidRPr="006E3F3F">
        <w:t xml:space="preserve">  </w:t>
      </w:r>
      <w:r w:rsidR="00834C0A" w:rsidRPr="006E3F3F">
        <w:t xml:space="preserve">If </w:t>
      </w:r>
      <w:r w:rsidR="00834C0A" w:rsidRPr="004C03A0">
        <w:rPr>
          <w:i/>
          <w:iCs/>
          <w:highlight w:val="yellow"/>
        </w:rPr>
        <w:t>(insert name of local locator service)</w:t>
      </w:r>
      <w:r w:rsidR="00834C0A">
        <w:rPr>
          <w:iCs/>
        </w:rPr>
        <w:t xml:space="preserve"> does not perform this service</w:t>
      </w:r>
      <w:r w:rsidR="00834C0A">
        <w:t xml:space="preserve"> at the project site, c</w:t>
      </w:r>
      <w:r w:rsidR="002C3DF4">
        <w:t>ontact</w:t>
      </w:r>
      <w:r w:rsidR="00834C0A">
        <w:t xml:space="preserve"> and ensure that</w:t>
      </w:r>
      <w:r w:rsidR="002C3DF4">
        <w:t xml:space="preserve"> a </w:t>
      </w:r>
      <w:r w:rsidR="002C3DF4" w:rsidRPr="005A4B2C">
        <w:rPr>
          <w:iCs/>
        </w:rPr>
        <w:t>commercial utility location service</w:t>
      </w:r>
      <w:r w:rsidR="002C3DF4">
        <w:rPr>
          <w:iCs/>
        </w:rPr>
        <w:t xml:space="preserve"> mark</w:t>
      </w:r>
      <w:r w:rsidR="00834C0A">
        <w:rPr>
          <w:iCs/>
        </w:rPr>
        <w:t>s</w:t>
      </w:r>
      <w:r w:rsidR="002C3DF4">
        <w:rPr>
          <w:iCs/>
        </w:rPr>
        <w:t xml:space="preserve"> underground utilities in the field before any excavation</w:t>
      </w:r>
      <w:r w:rsidR="00834C0A">
        <w:rPr>
          <w:iCs/>
        </w:rPr>
        <w:t xml:space="preserve"> begins</w:t>
      </w:r>
      <w:r w:rsidR="002C3DF4">
        <w:rPr>
          <w:iCs/>
        </w:rPr>
        <w:t>.</w:t>
      </w:r>
      <w:r w:rsidRPr="00E4607D">
        <w:t xml:space="preserve">  Notify the CO </w:t>
      </w:r>
      <w:r w:rsidRPr="00F579F0">
        <w:rPr>
          <w:highlight w:val="yellow"/>
        </w:rPr>
        <w:t>48</w:t>
      </w:r>
      <w:r w:rsidRPr="00E4607D">
        <w:t xml:space="preserve"> hours </w:t>
      </w:r>
      <w:r w:rsidR="00115949">
        <w:t>before</w:t>
      </w:r>
      <w:r w:rsidRPr="00E4607D">
        <w:t xml:space="preserve"> any excavation.</w:t>
      </w:r>
    </w:p>
    <w:p w:rsidR="006D4180" w:rsidRPr="00E4607D" w:rsidRDefault="006D4180" w:rsidP="00E4607D"/>
    <w:p w:rsidR="006D4180" w:rsidRPr="00E4607D" w:rsidRDefault="00A06508" w:rsidP="00E4607D">
      <w:r w:rsidRPr="00E4607D">
        <w:t xml:space="preserve">Exercise special care and extreme caution in order to protect and avoid damage to any utility company facilities.  Existing utilities have been generally located and shown on the plans as they are believed to exist.  The Government assumes no responsibility for the accuracy of locations shown </w:t>
      </w:r>
      <w:r w:rsidR="00116F70">
        <w:t>i</w:t>
      </w:r>
      <w:r w:rsidRPr="00E4607D">
        <w:t xml:space="preserve">n the plans.  Locate and ensure the safety of all existing utilities.  </w:t>
      </w:r>
      <w:r w:rsidR="00642EB5">
        <w:t xml:space="preserve">Coordinate </w:t>
      </w:r>
      <w:r w:rsidR="00E07D93">
        <w:t xml:space="preserve">the repair of damage caused by construction </w:t>
      </w:r>
      <w:r w:rsidR="00642EB5">
        <w:t xml:space="preserve">with </w:t>
      </w:r>
      <w:r w:rsidR="00E07D93">
        <w:t xml:space="preserve">the </w:t>
      </w:r>
      <w:r w:rsidR="00642EB5">
        <w:t>utility owners</w:t>
      </w:r>
      <w:r w:rsidR="00116F70" w:rsidRPr="00EC1AE5">
        <w:rPr>
          <w:rFonts w:eastAsia="Calibri"/>
        </w:rPr>
        <w:t>.</w:t>
      </w:r>
      <w:r w:rsidR="006D2880">
        <w:rPr>
          <w:rFonts w:eastAsia="Calibri"/>
        </w:rPr>
        <w:t xml:space="preserve">  Pay </w:t>
      </w:r>
      <w:r w:rsidR="00642EB5">
        <w:rPr>
          <w:rFonts w:eastAsia="Calibri"/>
        </w:rPr>
        <w:t xml:space="preserve">costs associated </w:t>
      </w:r>
      <w:r w:rsidR="00E07D93">
        <w:rPr>
          <w:rFonts w:eastAsia="Calibri"/>
        </w:rPr>
        <w:t>with</w:t>
      </w:r>
      <w:r w:rsidR="00642EB5">
        <w:rPr>
          <w:rFonts w:eastAsia="Calibri"/>
        </w:rPr>
        <w:t xml:space="preserve"> these repairs.</w:t>
      </w:r>
      <w:r w:rsidR="00116F70" w:rsidRPr="00EC1AE5">
        <w:rPr>
          <w:rFonts w:eastAsia="Calibri"/>
        </w:rPr>
        <w:t xml:space="preserve">  See Subsection 107.02 for additional requirements.</w:t>
      </w:r>
    </w:p>
    <w:p w:rsidR="006D4180" w:rsidRPr="00E4607D" w:rsidRDefault="006D4180" w:rsidP="00E4607D"/>
    <w:p w:rsidR="006D4180" w:rsidRPr="00E4607D" w:rsidRDefault="00A06508" w:rsidP="00E4607D">
      <w:r w:rsidRPr="00E4607D">
        <w:t>Locate by test pit any utility that may be in conflict with the proposed work.  If a conflict appears to exist, then notify the CO in writing immediately and provide information on the location and elevation of the utility so that the CO can adjust the proposed work.</w:t>
      </w:r>
    </w:p>
    <w:p w:rsidR="006D4180" w:rsidRDefault="006D4180" w:rsidP="00E4607D"/>
    <w:p w:rsidR="00116F70" w:rsidRDefault="00116F70" w:rsidP="00014258">
      <w:r w:rsidRPr="00A06508">
        <w:t>Restore the test pit a</w:t>
      </w:r>
      <w:r w:rsidR="00642EB5">
        <w:t>rea to its original condition.</w:t>
      </w:r>
    </w:p>
    <w:p w:rsidR="00515847" w:rsidRPr="002574E4" w:rsidRDefault="00515847" w:rsidP="00014258"/>
    <w:p w:rsidR="00951084" w:rsidRPr="0047413D" w:rsidRDefault="00951084" w:rsidP="00951084">
      <w:pPr>
        <w:ind w:hanging="720"/>
        <w:rPr>
          <w:vanish/>
        </w:rPr>
      </w:pPr>
      <w:r w:rsidRPr="00E4607D">
        <w:rPr>
          <w:vanish/>
        </w:rPr>
        <w:t>$$645.0</w:t>
      </w:r>
      <w:r>
        <w:rPr>
          <w:vanish/>
        </w:rPr>
        <w:t>4</w:t>
      </w:r>
      <w:r w:rsidRPr="00E4607D">
        <w:rPr>
          <w:vanish/>
        </w:rPr>
        <w:t>A</w:t>
      </w:r>
    </w:p>
    <w:p w:rsidR="006D4180" w:rsidRDefault="00A06508" w:rsidP="00E4607D">
      <w:proofErr w:type="gramStart"/>
      <w:r w:rsidRPr="00E4607D">
        <w:rPr>
          <w:b/>
        </w:rPr>
        <w:lastRenderedPageBreak/>
        <w:t>645.04  Locating</w:t>
      </w:r>
      <w:proofErr w:type="gramEnd"/>
      <w:r w:rsidRPr="00E4607D">
        <w:rPr>
          <w:b/>
        </w:rPr>
        <w:t xml:space="preserve"> Utility.</w:t>
      </w:r>
      <w:r w:rsidRPr="00E4607D">
        <w:t xml:space="preserve">  Use </w:t>
      </w:r>
      <w:r w:rsidR="00116F70" w:rsidRPr="00EC1AE5">
        <w:rPr>
          <w:rFonts w:eastAsia="Calibri"/>
        </w:rPr>
        <w:t xml:space="preserve">geophysical prospective techniques, including electromagnetic, </w:t>
      </w:r>
      <w:r w:rsidR="00392219">
        <w:rPr>
          <w:rFonts w:eastAsia="Calibri"/>
        </w:rPr>
        <w:t>sonic, or other energy fi</w:t>
      </w:r>
      <w:r w:rsidR="00116F70" w:rsidRPr="00EC1AE5">
        <w:rPr>
          <w:rFonts w:eastAsia="Calibri"/>
        </w:rPr>
        <w:t>e</w:t>
      </w:r>
      <w:r w:rsidR="00392219">
        <w:rPr>
          <w:rFonts w:eastAsia="Calibri"/>
        </w:rPr>
        <w:t>l</w:t>
      </w:r>
      <w:r w:rsidR="00116F70" w:rsidRPr="00EC1AE5">
        <w:rPr>
          <w:rFonts w:eastAsia="Calibri"/>
        </w:rPr>
        <w:t xml:space="preserve">d devices </w:t>
      </w:r>
      <w:r w:rsidRPr="00E4607D">
        <w:t>to establish alignment of utilities where applicable.  When necessary, thread a metal rod through non-metallic utility pipes to locate them.  Where neither method is feasible, locate the utility by perpendicular trench or test pits.</w:t>
      </w:r>
    </w:p>
    <w:p w:rsidR="00515847" w:rsidRPr="00E4607D" w:rsidRDefault="00515847" w:rsidP="00E4607D"/>
    <w:p w:rsidR="00951084" w:rsidRPr="0047413D" w:rsidRDefault="00951084" w:rsidP="00951084">
      <w:pPr>
        <w:ind w:hanging="720"/>
        <w:rPr>
          <w:vanish/>
        </w:rPr>
      </w:pPr>
      <w:r w:rsidRPr="00E4607D">
        <w:rPr>
          <w:vanish/>
        </w:rPr>
        <w:t>$$645.0</w:t>
      </w:r>
      <w:r>
        <w:rPr>
          <w:vanish/>
        </w:rPr>
        <w:t>5</w:t>
      </w:r>
      <w:r w:rsidRPr="00E4607D">
        <w:rPr>
          <w:vanish/>
        </w:rPr>
        <w:t>A</w:t>
      </w:r>
    </w:p>
    <w:p w:rsidR="006D4180" w:rsidRDefault="00A06508" w:rsidP="00E4607D">
      <w:proofErr w:type="gramStart"/>
      <w:r w:rsidRPr="00E4607D">
        <w:rPr>
          <w:b/>
        </w:rPr>
        <w:t>645.05  Excavation</w:t>
      </w:r>
      <w:proofErr w:type="gramEnd"/>
      <w:r w:rsidRPr="00E4607D">
        <w:rPr>
          <w:b/>
        </w:rPr>
        <w:t>.</w:t>
      </w:r>
      <w:r w:rsidRPr="00E4607D">
        <w:t xml:space="preserve">  Excavate carefully </w:t>
      </w:r>
      <w:r w:rsidR="00392219">
        <w:t>to the assume depth using hand tools as needed to avoid disturbing utilities</w:t>
      </w:r>
      <w:r w:rsidRPr="00E4607D">
        <w:t>.  When excavating within roadway pavements where traffic is being maintained, excavate by air-vacuum methods or equivalent, keeping the area of disturbance to a minimum.  Uncover the utility sufficiently to make accurate measurements.</w:t>
      </w:r>
    </w:p>
    <w:p w:rsidR="00515847" w:rsidRPr="00E4607D" w:rsidRDefault="00515847" w:rsidP="00E4607D"/>
    <w:p w:rsidR="00951084" w:rsidRPr="0047413D" w:rsidRDefault="00951084" w:rsidP="00951084">
      <w:pPr>
        <w:ind w:hanging="720"/>
        <w:rPr>
          <w:vanish/>
        </w:rPr>
      </w:pPr>
      <w:r w:rsidRPr="00E4607D">
        <w:rPr>
          <w:vanish/>
        </w:rPr>
        <w:t>$$645.0</w:t>
      </w:r>
      <w:r>
        <w:rPr>
          <w:vanish/>
        </w:rPr>
        <w:t>6</w:t>
      </w:r>
      <w:r w:rsidRPr="00E4607D">
        <w:rPr>
          <w:vanish/>
        </w:rPr>
        <w:t>A</w:t>
      </w:r>
    </w:p>
    <w:p w:rsidR="006D4180" w:rsidRDefault="00A06508" w:rsidP="00E4607D">
      <w:proofErr w:type="gramStart"/>
      <w:r w:rsidRPr="00E4607D">
        <w:rPr>
          <w:b/>
        </w:rPr>
        <w:t>645.06  Record</w:t>
      </w:r>
      <w:proofErr w:type="gramEnd"/>
      <w:r w:rsidRPr="00E4607D">
        <w:rPr>
          <w:b/>
        </w:rPr>
        <w:t>.</w:t>
      </w:r>
      <w:r w:rsidRPr="00E4607D">
        <w:t xml:space="preserve">  Describe the utility found (size, material, function), determine the elevation of the top of utility, and prepare a field sketch of the pit.  Indicate the date and the station and offset of the utility, noting whether the baseline or the centerline of proposed facility is being referenced.  Submit </w:t>
      </w:r>
      <w:r w:rsidR="008B3F9B">
        <w:t>one</w:t>
      </w:r>
      <w:r w:rsidRPr="00E4607D">
        <w:t xml:space="preserve"> copy to the CO within 24 hours.</w:t>
      </w:r>
    </w:p>
    <w:p w:rsidR="00515847" w:rsidRPr="00E4607D" w:rsidRDefault="00515847" w:rsidP="00E4607D"/>
    <w:p w:rsidR="00951084" w:rsidRPr="0047413D" w:rsidRDefault="00951084" w:rsidP="00951084">
      <w:pPr>
        <w:ind w:hanging="720"/>
        <w:rPr>
          <w:vanish/>
        </w:rPr>
      </w:pPr>
      <w:r w:rsidRPr="00E4607D">
        <w:rPr>
          <w:vanish/>
        </w:rPr>
        <w:t>$$645.0</w:t>
      </w:r>
      <w:r>
        <w:rPr>
          <w:vanish/>
        </w:rPr>
        <w:t>7</w:t>
      </w:r>
      <w:r w:rsidRPr="00E4607D">
        <w:rPr>
          <w:vanish/>
        </w:rPr>
        <w:t>A</w:t>
      </w:r>
    </w:p>
    <w:p w:rsidR="006D4180" w:rsidRDefault="00A06508" w:rsidP="00E4607D">
      <w:proofErr w:type="gramStart"/>
      <w:r w:rsidRPr="00E4607D">
        <w:rPr>
          <w:b/>
        </w:rPr>
        <w:t>645.07  Marking</w:t>
      </w:r>
      <w:proofErr w:type="gramEnd"/>
      <w:r w:rsidRPr="00E4607D">
        <w:rPr>
          <w:b/>
        </w:rPr>
        <w:t>.</w:t>
      </w:r>
      <w:r w:rsidRPr="00E4607D">
        <w:t xml:space="preserve">  Mark the utility location by flags or paint.  Maintain the markings, including repainting faded or damaged markings, for the duration of the project, or until the CO determines that the markings are no longer needed.</w:t>
      </w:r>
    </w:p>
    <w:p w:rsidR="00515847" w:rsidRPr="00E4607D" w:rsidRDefault="00515847" w:rsidP="00E4607D"/>
    <w:p w:rsidR="00951084" w:rsidRPr="0047413D" w:rsidRDefault="00951084" w:rsidP="00951084">
      <w:pPr>
        <w:ind w:hanging="720"/>
        <w:rPr>
          <w:vanish/>
        </w:rPr>
      </w:pPr>
      <w:r w:rsidRPr="00E4607D">
        <w:rPr>
          <w:vanish/>
        </w:rPr>
        <w:t>$$645.0</w:t>
      </w:r>
      <w:r>
        <w:rPr>
          <w:vanish/>
        </w:rPr>
        <w:t>8</w:t>
      </w:r>
      <w:r w:rsidRPr="00E4607D">
        <w:rPr>
          <w:vanish/>
        </w:rPr>
        <w:t>A</w:t>
      </w:r>
    </w:p>
    <w:p w:rsidR="00515847" w:rsidRDefault="00A06508" w:rsidP="00E4607D">
      <w:proofErr w:type="gramStart"/>
      <w:r w:rsidRPr="00E4607D">
        <w:rPr>
          <w:b/>
        </w:rPr>
        <w:t>645.08  Restoration</w:t>
      </w:r>
      <w:proofErr w:type="gramEnd"/>
      <w:r w:rsidRPr="00E4607D">
        <w:rPr>
          <w:b/>
        </w:rPr>
        <w:t>.</w:t>
      </w:r>
      <w:r w:rsidRPr="00E4607D">
        <w:t xml:space="preserve">  </w:t>
      </w:r>
      <w:proofErr w:type="gramStart"/>
      <w:r w:rsidRPr="00E4607D">
        <w:t xml:space="preserve">Backfill </w:t>
      </w:r>
      <w:r w:rsidR="006D2880">
        <w:t>using</w:t>
      </w:r>
      <w:r w:rsidRPr="00E4607D">
        <w:t xml:space="preserve"> </w:t>
      </w:r>
      <w:r w:rsidR="008B3F9B">
        <w:t xml:space="preserve">the excavated </w:t>
      </w:r>
      <w:r w:rsidRPr="00E4607D">
        <w:t>material</w:t>
      </w:r>
      <w:r w:rsidR="008B3F9B" w:rsidRPr="008B3F9B">
        <w:rPr>
          <w:rFonts w:eastAsia="Calibri"/>
        </w:rPr>
        <w:t xml:space="preserve"> </w:t>
      </w:r>
      <w:r w:rsidR="008B3F9B" w:rsidRPr="00EC1AE5">
        <w:rPr>
          <w:rFonts w:eastAsia="Calibri"/>
        </w:rPr>
        <w:t>or an approved equal.</w:t>
      </w:r>
      <w:proofErr w:type="gramEnd"/>
      <w:r w:rsidR="009E6225">
        <w:t xml:space="preserve">  </w:t>
      </w:r>
      <w:proofErr w:type="gramStart"/>
      <w:r w:rsidR="009E6225">
        <w:t>T</w:t>
      </w:r>
      <w:r w:rsidR="009E6225" w:rsidRPr="00E4607D">
        <w:t xml:space="preserve">horoughly </w:t>
      </w:r>
      <w:r w:rsidRPr="00E4607D">
        <w:t xml:space="preserve">compact </w:t>
      </w:r>
      <w:r w:rsidR="009E6225">
        <w:t xml:space="preserve">backfill </w:t>
      </w:r>
      <w:r w:rsidRPr="00E4607D">
        <w:t xml:space="preserve">material </w:t>
      </w:r>
      <w:r w:rsidR="009E6225">
        <w:t xml:space="preserve">using appropriate </w:t>
      </w:r>
      <w:r w:rsidR="000179F8">
        <w:t xml:space="preserve">compaction </w:t>
      </w:r>
      <w:r w:rsidR="009E6225">
        <w:t>methods, approved by the CO.</w:t>
      </w:r>
      <w:proofErr w:type="gramEnd"/>
      <w:r w:rsidRPr="00E4607D">
        <w:t xml:space="preserve">  Restore aggregate courses and </w:t>
      </w:r>
      <w:r w:rsidR="008B3F9B">
        <w:t xml:space="preserve">asphalt concrete </w:t>
      </w:r>
      <w:r w:rsidRPr="00E4607D">
        <w:t xml:space="preserve">pavement using </w:t>
      </w:r>
      <w:r w:rsidR="008B3F9B" w:rsidRPr="00EC1AE5">
        <w:rPr>
          <w:rFonts w:eastAsia="Calibri"/>
        </w:rPr>
        <w:t>approved materials and thicknesses, and</w:t>
      </w:r>
      <w:r w:rsidR="008B3F9B">
        <w:rPr>
          <w:rFonts w:eastAsia="Calibri"/>
        </w:rPr>
        <w:t xml:space="preserve"> appropriate compaction methods</w:t>
      </w:r>
      <w:r w:rsidRPr="00E4607D">
        <w:t xml:space="preserve">.  For </w:t>
      </w:r>
      <w:r w:rsidR="008B3F9B" w:rsidRPr="00E4607D">
        <w:t>Portland</w:t>
      </w:r>
      <w:r w:rsidRPr="00E4607D">
        <w:t xml:space="preserve"> cement concrete pavements, use </w:t>
      </w:r>
      <w:r w:rsidR="008B3F9B">
        <w:t xml:space="preserve">a </w:t>
      </w:r>
      <w:r w:rsidRPr="00E4607D">
        <w:t>fast setting concrete.</w:t>
      </w:r>
    </w:p>
    <w:p w:rsidR="006D4180" w:rsidRPr="00E4607D" w:rsidRDefault="006D4180" w:rsidP="00E4607D"/>
    <w:p w:rsidR="00951084" w:rsidRPr="0047413D" w:rsidRDefault="00951084" w:rsidP="00951084">
      <w:pPr>
        <w:ind w:hanging="720"/>
        <w:rPr>
          <w:vanish/>
        </w:rPr>
      </w:pPr>
      <w:r w:rsidRPr="00E4607D">
        <w:rPr>
          <w:vanish/>
        </w:rPr>
        <w:t>$$645.0</w:t>
      </w:r>
      <w:r>
        <w:rPr>
          <w:vanish/>
        </w:rPr>
        <w:t>9</w:t>
      </w:r>
      <w:r w:rsidRPr="00E4607D">
        <w:rPr>
          <w:vanish/>
        </w:rPr>
        <w:t>A</w:t>
      </w:r>
    </w:p>
    <w:p w:rsidR="009E0781" w:rsidRDefault="00A06508" w:rsidP="00E4607D">
      <w:pPr>
        <w:rPr>
          <w:rFonts w:eastAsia="Calibri"/>
        </w:rPr>
      </w:pPr>
      <w:proofErr w:type="gramStart"/>
      <w:r w:rsidRPr="00E4607D">
        <w:rPr>
          <w:b/>
        </w:rPr>
        <w:t>645.09  Acceptance</w:t>
      </w:r>
      <w:proofErr w:type="gramEnd"/>
      <w:r w:rsidRPr="00E4607D">
        <w:rPr>
          <w:b/>
        </w:rPr>
        <w:t>.</w:t>
      </w:r>
      <w:r w:rsidRPr="00E4607D">
        <w:t xml:space="preserve">  Locating utilities will be evaluated under Subsection 106.02.</w:t>
      </w:r>
    </w:p>
    <w:p w:rsidR="00CC7234" w:rsidRPr="00E4607D" w:rsidRDefault="00CC7234" w:rsidP="00E4607D"/>
    <w:p w:rsidR="009E0781" w:rsidRPr="009267F3" w:rsidRDefault="009E0781" w:rsidP="009E0781">
      <w:pPr>
        <w:rPr>
          <w:vanish/>
        </w:rPr>
      </w:pPr>
      <w:r w:rsidRPr="009267F3">
        <w:rPr>
          <w:i/>
          <w:vanish/>
          <w:highlight w:val="yellow"/>
        </w:rPr>
        <w:t xml:space="preserve">INCLUDE THE FOLLOWING IF </w:t>
      </w:r>
      <w:r>
        <w:rPr>
          <w:i/>
          <w:vanish/>
          <w:highlight w:val="yellow"/>
        </w:rPr>
        <w:t xml:space="preserve">LOCATING UTILITIES IS </w:t>
      </w:r>
      <w:r w:rsidR="00FE7E60">
        <w:rPr>
          <w:i/>
          <w:vanish/>
          <w:highlight w:val="yellow"/>
        </w:rPr>
        <w:t>SUBSIDIARY</w:t>
      </w:r>
      <w:r>
        <w:rPr>
          <w:i/>
          <w:vanish/>
          <w:highlight w:val="yellow"/>
        </w:rPr>
        <w:t xml:space="preserve"> TO THE PROJECT WORK </w:t>
      </w:r>
      <w:r w:rsidRPr="00675EEB">
        <w:rPr>
          <w:i/>
          <w:vanish/>
          <w:highlight w:val="yellow"/>
        </w:rPr>
        <w:t xml:space="preserve">AND </w:t>
      </w:r>
      <w:r w:rsidRPr="008C4BCC">
        <w:rPr>
          <w:i/>
          <w:vanish/>
          <w:highlight w:val="yellow"/>
        </w:rPr>
        <w:t>NO</w:t>
      </w:r>
      <w:r>
        <w:rPr>
          <w:i/>
          <w:vanish/>
          <w:highlight w:val="yellow"/>
        </w:rPr>
        <w:t xml:space="preserve"> 645 PAY ITEM IS INCLUDED </w:t>
      </w:r>
      <w:r w:rsidR="00A71DD5">
        <w:rPr>
          <w:i/>
          <w:vanish/>
          <w:highlight w:val="yellow"/>
        </w:rPr>
        <w:t xml:space="preserve">(IF </w:t>
      </w:r>
      <w:r w:rsidR="002574E4">
        <w:rPr>
          <w:i/>
          <w:vanish/>
          <w:highlight w:val="yellow"/>
        </w:rPr>
        <w:t>USING THIS CLAUSE</w:t>
      </w:r>
      <w:r w:rsidR="00A71DD5">
        <w:rPr>
          <w:i/>
          <w:vanish/>
          <w:highlight w:val="yellow"/>
        </w:rPr>
        <w:t xml:space="preserve">, DO NOT INCLUDE </w:t>
      </w:r>
      <w:r w:rsidR="002574E4">
        <w:rPr>
          <w:i/>
          <w:vanish/>
          <w:highlight w:val="yellow"/>
        </w:rPr>
        <w:t xml:space="preserve">CLAUSES </w:t>
      </w:r>
      <w:r w:rsidR="00A71DD5">
        <w:rPr>
          <w:i/>
          <w:vanish/>
          <w:highlight w:val="yellow"/>
        </w:rPr>
        <w:t>$$645.10</w:t>
      </w:r>
      <w:r w:rsidRPr="009267F3">
        <w:rPr>
          <w:i/>
          <w:vanish/>
          <w:highlight w:val="yellow"/>
        </w:rPr>
        <w:t>B</w:t>
      </w:r>
      <w:r w:rsidR="002C7C67">
        <w:rPr>
          <w:i/>
          <w:vanish/>
          <w:highlight w:val="yellow"/>
        </w:rPr>
        <w:t>, $$645.11A, AND $$645.11B</w:t>
      </w:r>
      <w:r w:rsidRPr="009267F3">
        <w:rPr>
          <w:i/>
          <w:vanish/>
          <w:highlight w:val="yellow"/>
        </w:rPr>
        <w:t>)</w:t>
      </w:r>
    </w:p>
    <w:p w:rsidR="009E0781" w:rsidRPr="009267F3" w:rsidRDefault="009E0781" w:rsidP="009E0781">
      <w:pPr>
        <w:ind w:hanging="720"/>
        <w:rPr>
          <w:vanish/>
        </w:rPr>
      </w:pPr>
      <w:r>
        <w:rPr>
          <w:vanish/>
        </w:rPr>
        <w:t>$$645.10</w:t>
      </w:r>
      <w:r w:rsidRPr="009267F3">
        <w:rPr>
          <w:vanish/>
        </w:rPr>
        <w:t>A</w:t>
      </w:r>
    </w:p>
    <w:p w:rsidR="009E0781" w:rsidRPr="009267F3" w:rsidRDefault="009E0781" w:rsidP="009E0781">
      <w:pPr>
        <w:jc w:val="center"/>
        <w:rPr>
          <w:b/>
        </w:rPr>
      </w:pPr>
      <w:r w:rsidRPr="009267F3">
        <w:rPr>
          <w:b/>
        </w:rPr>
        <w:t>Measurement and Payment</w:t>
      </w:r>
    </w:p>
    <w:p w:rsidR="009E0781" w:rsidRPr="009267F3" w:rsidRDefault="009E0781" w:rsidP="009E0781"/>
    <w:p w:rsidR="009E0781" w:rsidRDefault="009E0781" w:rsidP="009E0781">
      <w:proofErr w:type="gramStart"/>
      <w:r w:rsidRPr="001E449C">
        <w:rPr>
          <w:b/>
        </w:rPr>
        <w:t>645.1</w:t>
      </w:r>
      <w:r>
        <w:rPr>
          <w:b/>
        </w:rPr>
        <w:t>0</w:t>
      </w:r>
      <w:r w:rsidRPr="001E449C">
        <w:t xml:space="preserve">  </w:t>
      </w:r>
      <w:r w:rsidRPr="004C03A0">
        <w:t>Do</w:t>
      </w:r>
      <w:proofErr w:type="gramEnd"/>
      <w:r w:rsidRPr="004C03A0">
        <w:t xml:space="preserve"> not measure locating utilities for payment.  See Subsection 109.05.</w:t>
      </w:r>
    </w:p>
    <w:p w:rsidR="009E0781" w:rsidRDefault="009E0781" w:rsidP="009E0781"/>
    <w:p w:rsidR="009E0781" w:rsidRPr="009267F3" w:rsidRDefault="009E0781" w:rsidP="009E0781">
      <w:pPr>
        <w:rPr>
          <w:vanish/>
        </w:rPr>
      </w:pPr>
      <w:r w:rsidRPr="006614A2">
        <w:rPr>
          <w:i/>
          <w:vanish/>
          <w:highlight w:val="yellow"/>
        </w:rPr>
        <w:t xml:space="preserve">INCLUDE </w:t>
      </w:r>
      <w:r w:rsidR="00A71DD5">
        <w:rPr>
          <w:i/>
          <w:vanish/>
          <w:highlight w:val="yellow"/>
        </w:rPr>
        <w:t>CLAUSES $$645.10B AND $$645.11</w:t>
      </w:r>
      <w:r>
        <w:rPr>
          <w:i/>
          <w:vanish/>
          <w:highlight w:val="yellow"/>
        </w:rPr>
        <w:t>A</w:t>
      </w:r>
      <w:r w:rsidRPr="006614A2">
        <w:rPr>
          <w:i/>
          <w:vanish/>
          <w:highlight w:val="yellow"/>
        </w:rPr>
        <w:t xml:space="preserve"> </w:t>
      </w:r>
      <w:r>
        <w:rPr>
          <w:i/>
          <w:vanish/>
          <w:highlight w:val="yellow"/>
        </w:rPr>
        <w:t xml:space="preserve">IF A LOCATING </w:t>
      </w:r>
      <w:r w:rsidRPr="006614A2">
        <w:rPr>
          <w:i/>
          <w:vanish/>
          <w:highlight w:val="yellow"/>
        </w:rPr>
        <w:t>UTI</w:t>
      </w:r>
      <w:r w:rsidRPr="001762A1">
        <w:rPr>
          <w:i/>
          <w:vanish/>
          <w:highlight w:val="yellow"/>
        </w:rPr>
        <w:t xml:space="preserve">LITIES </w:t>
      </w:r>
      <w:r>
        <w:rPr>
          <w:i/>
          <w:vanish/>
          <w:highlight w:val="yellow"/>
        </w:rPr>
        <w:t xml:space="preserve">PAY ITEM </w:t>
      </w:r>
      <w:r w:rsidRPr="001762A1">
        <w:rPr>
          <w:i/>
          <w:vanish/>
          <w:highlight w:val="yellow"/>
        </w:rPr>
        <w:t>IS INCLUDED IN THE</w:t>
      </w:r>
      <w:r>
        <w:rPr>
          <w:i/>
          <w:vanish/>
          <w:highlight w:val="yellow"/>
        </w:rPr>
        <w:t xml:space="preserve"> </w:t>
      </w:r>
      <w:r w:rsidR="00951084">
        <w:rPr>
          <w:i/>
          <w:vanish/>
          <w:highlight w:val="yellow"/>
        </w:rPr>
        <w:t>PROJECT</w:t>
      </w:r>
      <w:r>
        <w:rPr>
          <w:i/>
          <w:vanish/>
          <w:highlight w:val="yellow"/>
        </w:rPr>
        <w:t xml:space="preserve"> </w:t>
      </w:r>
      <w:r w:rsidRPr="009267F3">
        <w:rPr>
          <w:i/>
          <w:vanish/>
          <w:highlight w:val="yellow"/>
        </w:rPr>
        <w:t xml:space="preserve">(IF </w:t>
      </w:r>
      <w:r w:rsidR="002574E4">
        <w:rPr>
          <w:i/>
          <w:vanish/>
          <w:highlight w:val="yellow"/>
        </w:rPr>
        <w:t>USING THESE CLAUSES</w:t>
      </w:r>
      <w:r w:rsidRPr="009267F3">
        <w:rPr>
          <w:i/>
          <w:vanish/>
          <w:highlight w:val="yellow"/>
        </w:rPr>
        <w:t xml:space="preserve">, DO NOT INCLUDE </w:t>
      </w:r>
      <w:r w:rsidR="002574E4">
        <w:rPr>
          <w:i/>
          <w:vanish/>
          <w:highlight w:val="yellow"/>
        </w:rPr>
        <w:t xml:space="preserve">CLAUSE </w:t>
      </w:r>
      <w:r w:rsidRPr="009267F3">
        <w:rPr>
          <w:i/>
          <w:vanish/>
          <w:highlight w:val="yellow"/>
        </w:rPr>
        <w:t>$$645.</w:t>
      </w:r>
      <w:r>
        <w:rPr>
          <w:i/>
          <w:vanish/>
          <w:highlight w:val="yellow"/>
        </w:rPr>
        <w:t>10A</w:t>
      </w:r>
      <w:r w:rsidRPr="009267F3">
        <w:rPr>
          <w:i/>
          <w:vanish/>
          <w:highlight w:val="yellow"/>
        </w:rPr>
        <w:t>)</w:t>
      </w:r>
    </w:p>
    <w:p w:rsidR="009E0781" w:rsidRPr="00D53E74" w:rsidRDefault="009E0781" w:rsidP="009E0781">
      <w:pPr>
        <w:ind w:hanging="720"/>
        <w:rPr>
          <w:vanish/>
        </w:rPr>
      </w:pPr>
      <w:r w:rsidRPr="00D53E74">
        <w:rPr>
          <w:vanish/>
        </w:rPr>
        <w:t>$$6</w:t>
      </w:r>
      <w:r>
        <w:rPr>
          <w:vanish/>
        </w:rPr>
        <w:t>4</w:t>
      </w:r>
      <w:r w:rsidRPr="00D53E74">
        <w:rPr>
          <w:vanish/>
        </w:rPr>
        <w:t>5.</w:t>
      </w:r>
      <w:r w:rsidR="00951084">
        <w:rPr>
          <w:vanish/>
        </w:rPr>
        <w:t>10</w:t>
      </w:r>
      <w:r>
        <w:rPr>
          <w:vanish/>
        </w:rPr>
        <w:t>B</w:t>
      </w:r>
    </w:p>
    <w:p w:rsidR="006D4180" w:rsidRPr="00E4607D" w:rsidRDefault="00A06508" w:rsidP="00E4607D">
      <w:pPr>
        <w:jc w:val="center"/>
        <w:rPr>
          <w:b/>
        </w:rPr>
      </w:pPr>
      <w:r w:rsidRPr="00E4607D">
        <w:rPr>
          <w:b/>
        </w:rPr>
        <w:t>Measurement</w:t>
      </w:r>
    </w:p>
    <w:p w:rsidR="006D4180" w:rsidRPr="00E4607D" w:rsidRDefault="006D4180" w:rsidP="00E4607D"/>
    <w:p w:rsidR="006D4180" w:rsidRDefault="00A06508" w:rsidP="00E4607D">
      <w:proofErr w:type="gramStart"/>
      <w:r w:rsidRPr="00E4607D">
        <w:rPr>
          <w:b/>
        </w:rPr>
        <w:lastRenderedPageBreak/>
        <w:t>645.10</w:t>
      </w:r>
      <w:r w:rsidRPr="00E4607D">
        <w:t xml:space="preserve">  Measure</w:t>
      </w:r>
      <w:proofErr w:type="gramEnd"/>
      <w:r w:rsidRPr="00E4607D">
        <w:t xml:space="preserve"> the Section 645 items listed in the bid schedule according to Subsection 109.02.</w:t>
      </w:r>
    </w:p>
    <w:p w:rsidR="00A06508" w:rsidRPr="00E4607D" w:rsidRDefault="00A06508" w:rsidP="00E4607D"/>
    <w:p w:rsidR="00A71DD5" w:rsidRPr="00D53E74" w:rsidRDefault="00A71DD5" w:rsidP="00A71DD5">
      <w:pPr>
        <w:ind w:hanging="720"/>
        <w:rPr>
          <w:vanish/>
        </w:rPr>
      </w:pPr>
      <w:r w:rsidRPr="00D53E74">
        <w:rPr>
          <w:vanish/>
        </w:rPr>
        <w:t>$$6</w:t>
      </w:r>
      <w:r>
        <w:rPr>
          <w:vanish/>
        </w:rPr>
        <w:t>4</w:t>
      </w:r>
      <w:r w:rsidRPr="00D53E74">
        <w:rPr>
          <w:vanish/>
        </w:rPr>
        <w:t>5.</w:t>
      </w:r>
      <w:r>
        <w:rPr>
          <w:vanish/>
        </w:rPr>
        <w:t>11</w:t>
      </w:r>
      <w:r w:rsidRPr="00D53E74">
        <w:rPr>
          <w:vanish/>
        </w:rPr>
        <w:t>A</w:t>
      </w:r>
    </w:p>
    <w:p w:rsidR="006D4180" w:rsidRPr="00E4607D" w:rsidRDefault="00A06508" w:rsidP="00E4607D">
      <w:pPr>
        <w:jc w:val="center"/>
        <w:rPr>
          <w:b/>
        </w:rPr>
      </w:pPr>
      <w:r w:rsidRPr="00E4607D">
        <w:rPr>
          <w:b/>
        </w:rPr>
        <w:t>Payment</w:t>
      </w:r>
    </w:p>
    <w:p w:rsidR="006D4180" w:rsidRPr="00E4607D" w:rsidRDefault="006D4180" w:rsidP="00E4607D"/>
    <w:p w:rsidR="006D4180" w:rsidRDefault="00A06508" w:rsidP="00E4607D">
      <w:proofErr w:type="gramStart"/>
      <w:r w:rsidRPr="00E4607D">
        <w:rPr>
          <w:b/>
        </w:rPr>
        <w:t>645.11</w:t>
      </w:r>
      <w:r w:rsidRPr="00E4607D">
        <w:t xml:space="preserve">  The</w:t>
      </w:r>
      <w:proofErr w:type="gramEnd"/>
      <w:r w:rsidRPr="00E4607D">
        <w:t xml:space="preserve"> accepted quantities will be paid at the contract price per unit of measurement for the Section 645 pay items listed in the bid schedule.  Payment will be full compensation for the work prescribed in this Section.  See Subsection 109.05.</w:t>
      </w:r>
    </w:p>
    <w:p w:rsidR="00A71DD5" w:rsidRPr="004C03A0" w:rsidRDefault="00A71DD5" w:rsidP="00A71DD5">
      <w:pPr>
        <w:rPr>
          <w:highlight w:val="yellow"/>
        </w:rPr>
      </w:pPr>
    </w:p>
    <w:p w:rsidR="00A71DD5" w:rsidRPr="009267F3" w:rsidRDefault="00A71DD5" w:rsidP="00A71DD5">
      <w:pPr>
        <w:rPr>
          <w:vanish/>
        </w:rPr>
      </w:pPr>
      <w:r w:rsidRPr="006614A2">
        <w:rPr>
          <w:i/>
          <w:vanish/>
          <w:highlight w:val="yellow"/>
        </w:rPr>
        <w:t xml:space="preserve">INCLUDE THE </w:t>
      </w:r>
      <w:r w:rsidRPr="00DA7960">
        <w:rPr>
          <w:i/>
          <w:vanish/>
          <w:highlight w:val="yellow"/>
        </w:rPr>
        <w:t xml:space="preserve">FOLLOWING IF </w:t>
      </w:r>
      <w:r>
        <w:rPr>
          <w:i/>
          <w:vanish/>
          <w:highlight w:val="yellow"/>
        </w:rPr>
        <w:t xml:space="preserve">THE </w:t>
      </w:r>
      <w:r w:rsidR="007131DF">
        <w:rPr>
          <w:i/>
          <w:vanish/>
          <w:highlight w:val="yellow"/>
        </w:rPr>
        <w:t>LPSM</w:t>
      </w:r>
      <w:bookmarkStart w:id="0" w:name="_GoBack"/>
      <w:bookmarkEnd w:id="0"/>
      <w:r w:rsidRPr="00DA7960">
        <w:rPr>
          <w:i/>
          <w:vanish/>
          <w:highlight w:val="yellow"/>
        </w:rPr>
        <w:t xml:space="preserve"> PAY</w:t>
      </w:r>
      <w:r>
        <w:rPr>
          <w:i/>
          <w:vanish/>
          <w:highlight w:val="yellow"/>
        </w:rPr>
        <w:t xml:space="preserve"> </w:t>
      </w:r>
      <w:r w:rsidRPr="00DA7960">
        <w:rPr>
          <w:i/>
          <w:vanish/>
          <w:highlight w:val="yellow"/>
        </w:rPr>
        <w:t xml:space="preserve">ITEM FOR </w:t>
      </w:r>
      <w:r w:rsidR="00E43AC0">
        <w:rPr>
          <w:i/>
          <w:vanish/>
          <w:highlight w:val="yellow"/>
        </w:rPr>
        <w:t xml:space="preserve">LOCATING </w:t>
      </w:r>
      <w:r w:rsidRPr="00DA7960">
        <w:rPr>
          <w:i/>
          <w:vanish/>
          <w:highlight w:val="yellow"/>
        </w:rPr>
        <w:t>UTILITIES IS INC</w:t>
      </w:r>
      <w:r w:rsidR="000928DE">
        <w:rPr>
          <w:i/>
          <w:vanish/>
          <w:highlight w:val="yellow"/>
        </w:rPr>
        <w:t>L</w:t>
      </w:r>
      <w:r w:rsidRPr="00DA7960">
        <w:rPr>
          <w:i/>
          <w:vanish/>
          <w:highlight w:val="yellow"/>
        </w:rPr>
        <w:t xml:space="preserve">UDED IN THE </w:t>
      </w:r>
      <w:r w:rsidR="00951084" w:rsidRPr="002574E4">
        <w:rPr>
          <w:i/>
          <w:vanish/>
          <w:highlight w:val="yellow"/>
        </w:rPr>
        <w:t>PROJECT</w:t>
      </w:r>
      <w:r w:rsidR="002574E4" w:rsidRPr="00014258">
        <w:rPr>
          <w:i/>
          <w:vanish/>
          <w:highlight w:val="yellow"/>
        </w:rPr>
        <w:t xml:space="preserve"> - SEE INSTRUCTIONS FOR </w:t>
      </w:r>
      <w:r w:rsidR="003A58AF">
        <w:rPr>
          <w:i/>
          <w:vanish/>
          <w:highlight w:val="yellow"/>
        </w:rPr>
        <w:t xml:space="preserve">CLAUSE </w:t>
      </w:r>
      <w:r w:rsidR="002574E4" w:rsidRPr="00014258">
        <w:rPr>
          <w:i/>
          <w:vanish/>
          <w:highlight w:val="yellow"/>
        </w:rPr>
        <w:t>$$645.10B</w:t>
      </w:r>
    </w:p>
    <w:p w:rsidR="00A71DD5" w:rsidRPr="00D53E74" w:rsidRDefault="00A71DD5" w:rsidP="00A71DD5">
      <w:pPr>
        <w:ind w:hanging="720"/>
        <w:rPr>
          <w:vanish/>
        </w:rPr>
      </w:pPr>
      <w:r w:rsidRPr="00D53E74">
        <w:rPr>
          <w:vanish/>
        </w:rPr>
        <w:t>$$6</w:t>
      </w:r>
      <w:r>
        <w:rPr>
          <w:vanish/>
        </w:rPr>
        <w:t>4</w:t>
      </w:r>
      <w:r w:rsidRPr="00D53E74">
        <w:rPr>
          <w:vanish/>
        </w:rPr>
        <w:t>5.</w:t>
      </w:r>
      <w:r>
        <w:rPr>
          <w:vanish/>
        </w:rPr>
        <w:t>11B</w:t>
      </w:r>
    </w:p>
    <w:p w:rsidR="00A71DD5" w:rsidRPr="00E33C1E" w:rsidRDefault="00A71DD5" w:rsidP="00A71DD5">
      <w:r w:rsidRPr="00E33C1E">
        <w:t>Progress payments for locating utilities by the lump sum will be paid as follows:</w:t>
      </w:r>
    </w:p>
    <w:p w:rsidR="00A71DD5" w:rsidRPr="00E33C1E" w:rsidRDefault="00A71DD5" w:rsidP="00A06508"/>
    <w:p w:rsidR="00A71DD5" w:rsidRPr="00E33C1E" w:rsidRDefault="00A71DD5" w:rsidP="00A71DD5">
      <w:pPr>
        <w:ind w:left="360"/>
      </w:pPr>
      <w:r w:rsidRPr="00E33C1E">
        <w:rPr>
          <w:b/>
        </w:rPr>
        <w:t>(a)</w:t>
      </w:r>
      <w:r w:rsidRPr="00E33C1E">
        <w:t xml:space="preserve"> 50 percent of the pay item amount will be paid </w:t>
      </w:r>
      <w:r>
        <w:t>after</w:t>
      </w:r>
      <w:r w:rsidRPr="00E33C1E">
        <w:t xml:space="preserve"> initial marking.</w:t>
      </w:r>
    </w:p>
    <w:p w:rsidR="00A71DD5" w:rsidRPr="00E33C1E" w:rsidRDefault="00A71DD5" w:rsidP="00A06508"/>
    <w:p w:rsidR="00A71DD5" w:rsidRPr="00E33C1E" w:rsidRDefault="00A71DD5" w:rsidP="00A71DD5">
      <w:pPr>
        <w:ind w:left="360"/>
      </w:pPr>
      <w:r w:rsidRPr="00E33C1E">
        <w:rPr>
          <w:b/>
        </w:rPr>
        <w:t>(b)</w:t>
      </w:r>
      <w:r w:rsidRPr="00E33C1E">
        <w:t xml:space="preserve"> An additional 25 percent of the pay item amount will be paid following completion of 50 percent of the </w:t>
      </w:r>
      <w:r w:rsidR="00014258">
        <w:t xml:space="preserve">original </w:t>
      </w:r>
      <w:r w:rsidRPr="00E33C1E">
        <w:t>contract amount.</w:t>
      </w:r>
    </w:p>
    <w:p w:rsidR="00A71DD5" w:rsidRPr="00E33C1E" w:rsidRDefault="00A71DD5" w:rsidP="00A06508"/>
    <w:p w:rsidR="00A71DD5" w:rsidRPr="00894DB2" w:rsidRDefault="00A71DD5" w:rsidP="00A71DD5">
      <w:pPr>
        <w:ind w:left="360"/>
      </w:pPr>
      <w:r w:rsidRPr="00894DB2">
        <w:rPr>
          <w:b/>
        </w:rPr>
        <w:t>(c)</w:t>
      </w:r>
      <w:r w:rsidRPr="00894DB2">
        <w:t xml:space="preserve"> </w:t>
      </w:r>
      <w:r w:rsidR="00E07D93">
        <w:t>Payment of t</w:t>
      </w:r>
      <w:r>
        <w:t xml:space="preserve">he </w:t>
      </w:r>
      <w:r w:rsidRPr="00894DB2">
        <w:t xml:space="preserve">remaining </w:t>
      </w:r>
      <w:r w:rsidR="00E43AC0">
        <w:t>portion</w:t>
      </w:r>
      <w:r w:rsidRPr="00894DB2">
        <w:t xml:space="preserve"> of the pay item amount will be paid when </w:t>
      </w:r>
      <w:r w:rsidR="00E07D93">
        <w:t xml:space="preserve">the </w:t>
      </w:r>
      <w:r w:rsidRPr="00894DB2">
        <w:t>maintenance of the utility markings is no longer required as determined by the CO.</w:t>
      </w:r>
    </w:p>
    <w:p w:rsidR="00A71DD5" w:rsidRDefault="00A71DD5" w:rsidP="00E4607D"/>
    <w:p w:rsidR="00A06508" w:rsidRPr="00E4607D" w:rsidRDefault="00A06508" w:rsidP="00E4607D"/>
    <w:sectPr w:rsidR="00A06508" w:rsidRPr="00E4607D" w:rsidSect="00A06508">
      <w:footnotePr>
        <w:numRestart w:val="eachSect"/>
      </w:footnotePr>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180" w:rsidRDefault="00A06508">
      <w:r>
        <w:separator/>
      </w:r>
    </w:p>
  </w:endnote>
  <w:endnote w:type="continuationSeparator" w:id="0">
    <w:p w:rsidR="006D4180" w:rsidRDefault="00A0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180" w:rsidRDefault="00A06508">
      <w:r>
        <w:separator/>
      </w:r>
    </w:p>
  </w:footnote>
  <w:footnote w:type="continuationSeparator" w:id="0">
    <w:p w:rsidR="006D4180" w:rsidRDefault="00A06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6A4"/>
    <w:rsid w:val="00014258"/>
    <w:rsid w:val="000179F8"/>
    <w:rsid w:val="0006290A"/>
    <w:rsid w:val="000928DE"/>
    <w:rsid w:val="00115949"/>
    <w:rsid w:val="00116F70"/>
    <w:rsid w:val="001756A4"/>
    <w:rsid w:val="00190BC3"/>
    <w:rsid w:val="001E44C4"/>
    <w:rsid w:val="002565EC"/>
    <w:rsid w:val="002574E4"/>
    <w:rsid w:val="002C3DF4"/>
    <w:rsid w:val="002C7C67"/>
    <w:rsid w:val="00392219"/>
    <w:rsid w:val="0039644F"/>
    <w:rsid w:val="003A58AF"/>
    <w:rsid w:val="003B4BDE"/>
    <w:rsid w:val="003E1614"/>
    <w:rsid w:val="004457AF"/>
    <w:rsid w:val="004837D7"/>
    <w:rsid w:val="00515847"/>
    <w:rsid w:val="00574523"/>
    <w:rsid w:val="005C63FE"/>
    <w:rsid w:val="00642EB5"/>
    <w:rsid w:val="00675EEB"/>
    <w:rsid w:val="006D2880"/>
    <w:rsid w:val="006D4180"/>
    <w:rsid w:val="006E3F3F"/>
    <w:rsid w:val="007131DF"/>
    <w:rsid w:val="007436B0"/>
    <w:rsid w:val="00753566"/>
    <w:rsid w:val="00834C0A"/>
    <w:rsid w:val="008B3F9B"/>
    <w:rsid w:val="008C4BCC"/>
    <w:rsid w:val="00951084"/>
    <w:rsid w:val="009B1D37"/>
    <w:rsid w:val="009D5DE1"/>
    <w:rsid w:val="009E0781"/>
    <w:rsid w:val="009E6225"/>
    <w:rsid w:val="009F5E96"/>
    <w:rsid w:val="00A06508"/>
    <w:rsid w:val="00A604EE"/>
    <w:rsid w:val="00A66CDD"/>
    <w:rsid w:val="00A71DD5"/>
    <w:rsid w:val="00AC0401"/>
    <w:rsid w:val="00B76A2E"/>
    <w:rsid w:val="00B838A3"/>
    <w:rsid w:val="00C070CB"/>
    <w:rsid w:val="00CC7234"/>
    <w:rsid w:val="00D24220"/>
    <w:rsid w:val="00D54B12"/>
    <w:rsid w:val="00E07D93"/>
    <w:rsid w:val="00E43AC0"/>
    <w:rsid w:val="00E4607D"/>
    <w:rsid w:val="00E530C7"/>
    <w:rsid w:val="00F15F1D"/>
    <w:rsid w:val="00F579F0"/>
    <w:rsid w:val="00FE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semiHidden/>
    <w:pPr>
      <w:adjustRightInd w:val="0"/>
      <w:ind w:left="270"/>
    </w:pPr>
  </w:style>
  <w:style w:type="paragraph" w:styleId="BodyText">
    <w:name w:val="Body Text"/>
    <w:basedOn w:val="Normal"/>
    <w:semiHidden/>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semiHidden/>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semiHidden/>
    <w:pPr>
      <w:widowControl/>
      <w:autoSpaceDE/>
      <w:autoSpaceDN/>
    </w:pPr>
    <w:rPr>
      <w:color w:val="0000FF"/>
      <w:szCs w:val="20"/>
    </w:rPr>
  </w:style>
  <w:style w:type="paragraph" w:styleId="BodyTextIndent2">
    <w:name w:val="Body Text Indent 2"/>
    <w:basedOn w:val="Normal"/>
    <w:semiHidden/>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emiHidden/>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semiHidden/>
    <w:pPr>
      <w:widowControl/>
      <w:autoSpaceDE/>
      <w:autoSpaceDN/>
    </w:pPr>
    <w:rPr>
      <w:rFonts w:ascii="Courier New" w:hAnsi="Courier New" w:cs="Courier New"/>
      <w:sz w:val="20"/>
      <w:szCs w:val="20"/>
    </w:rPr>
  </w:style>
  <w:style w:type="paragraph" w:styleId="BodyText3">
    <w:name w:val="Body Text 3"/>
    <w:basedOn w:val="Normal"/>
    <w:semiHidden/>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paragraph" w:styleId="BalloonText">
    <w:name w:val="Balloon Text"/>
    <w:basedOn w:val="Normal"/>
    <w:link w:val="BalloonTextChar"/>
    <w:uiPriority w:val="99"/>
    <w:semiHidden/>
    <w:unhideWhenUsed/>
    <w:rsid w:val="00A06508"/>
    <w:rPr>
      <w:rFonts w:ascii="Tahoma" w:hAnsi="Tahoma" w:cs="Tahoma"/>
      <w:sz w:val="16"/>
      <w:szCs w:val="16"/>
    </w:rPr>
  </w:style>
  <w:style w:type="character" w:customStyle="1" w:styleId="BalloonTextChar">
    <w:name w:val="Balloon Text Char"/>
    <w:basedOn w:val="DefaultParagraphFont"/>
    <w:link w:val="BalloonText"/>
    <w:uiPriority w:val="99"/>
    <w:semiHidden/>
    <w:rsid w:val="00A06508"/>
    <w:rPr>
      <w:rFonts w:ascii="Tahoma" w:hAnsi="Tahoma" w:cs="Tahoma"/>
      <w:sz w:val="16"/>
      <w:szCs w:val="16"/>
    </w:rPr>
  </w:style>
  <w:style w:type="character" w:styleId="CommentReference">
    <w:name w:val="annotation reference"/>
    <w:basedOn w:val="DefaultParagraphFont"/>
    <w:uiPriority w:val="99"/>
    <w:semiHidden/>
    <w:unhideWhenUsed/>
    <w:rsid w:val="003B4BDE"/>
    <w:rPr>
      <w:sz w:val="16"/>
      <w:szCs w:val="16"/>
    </w:rPr>
  </w:style>
  <w:style w:type="paragraph" w:styleId="CommentText">
    <w:name w:val="annotation text"/>
    <w:basedOn w:val="Normal"/>
    <w:link w:val="CommentTextChar"/>
    <w:uiPriority w:val="99"/>
    <w:semiHidden/>
    <w:unhideWhenUsed/>
    <w:rsid w:val="003B4BDE"/>
    <w:rPr>
      <w:sz w:val="20"/>
      <w:szCs w:val="20"/>
    </w:rPr>
  </w:style>
  <w:style w:type="character" w:customStyle="1" w:styleId="CommentTextChar">
    <w:name w:val="Comment Text Char"/>
    <w:basedOn w:val="DefaultParagraphFont"/>
    <w:link w:val="CommentText"/>
    <w:uiPriority w:val="99"/>
    <w:semiHidden/>
    <w:rsid w:val="003B4BDE"/>
  </w:style>
  <w:style w:type="paragraph" w:styleId="CommentSubject">
    <w:name w:val="annotation subject"/>
    <w:basedOn w:val="CommentText"/>
    <w:next w:val="CommentText"/>
    <w:link w:val="CommentSubjectChar"/>
    <w:uiPriority w:val="99"/>
    <w:semiHidden/>
    <w:unhideWhenUsed/>
    <w:rsid w:val="003B4BDE"/>
    <w:rPr>
      <w:b/>
      <w:bCs/>
    </w:rPr>
  </w:style>
  <w:style w:type="character" w:customStyle="1" w:styleId="CommentSubjectChar">
    <w:name w:val="Comment Subject Char"/>
    <w:basedOn w:val="CommentTextChar"/>
    <w:link w:val="CommentSubject"/>
    <w:uiPriority w:val="99"/>
    <w:semiHidden/>
    <w:rsid w:val="003B4BDE"/>
    <w:rPr>
      <w:b/>
      <w:bCs/>
    </w:rPr>
  </w:style>
  <w:style w:type="paragraph" w:styleId="Revision">
    <w:name w:val="Revision"/>
    <w:hidden/>
    <w:uiPriority w:val="99"/>
    <w:semiHidden/>
    <w:rsid w:val="003B4B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7883-D007-419B-B96D-37C4F0E2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FP14 LOS Section 645</vt:lpstr>
    </vt:vector>
  </TitlesOfParts>
  <Company>FHWA</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645</dc:title>
  <dc:subject>FP14 LOS</dc:subject>
  <dc:creator>FHWA</dc:creator>
  <cp:lastModifiedBy>PSERT</cp:lastModifiedBy>
  <cp:revision>22</cp:revision>
  <cp:lastPrinted>2016-05-24T13:13:00Z</cp:lastPrinted>
  <dcterms:created xsi:type="dcterms:W3CDTF">2016-05-24T12:42:00Z</dcterms:created>
  <dcterms:modified xsi:type="dcterms:W3CDTF">2016-05-26T12:27:00Z</dcterms:modified>
</cp:coreProperties>
</file>