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45" w:rsidRPr="00911564" w:rsidRDefault="001F6D45" w:rsidP="001F6D45">
      <w:pPr>
        <w:rPr>
          <w:i/>
          <w:vanish/>
          <w:highlight w:val="yellow"/>
        </w:rPr>
      </w:pPr>
      <w:r w:rsidRPr="00911564">
        <w:rPr>
          <w:i/>
          <w:vanish/>
          <w:highlight w:val="yellow"/>
        </w:rPr>
        <w:t xml:space="preserve">INCLUDE </w:t>
      </w:r>
      <w:r w:rsidRPr="00911564">
        <w:rPr>
          <w:i/>
          <w:iCs/>
          <w:vanish/>
          <w:highlight w:val="yellow"/>
        </w:rPr>
        <w:t>SECTION 4</w:t>
      </w:r>
      <w:r w:rsidR="00077B13" w:rsidRPr="00911564">
        <w:rPr>
          <w:i/>
          <w:iCs/>
          <w:vanish/>
          <w:highlight w:val="yellow"/>
        </w:rPr>
        <w:t>1</w:t>
      </w:r>
      <w:r w:rsidRPr="00911564">
        <w:rPr>
          <w:i/>
          <w:iCs/>
          <w:vanish/>
          <w:highlight w:val="yellow"/>
        </w:rPr>
        <w:t xml:space="preserve">2 </w:t>
      </w:r>
      <w:r w:rsidR="00FF53D9" w:rsidRPr="00911564">
        <w:rPr>
          <w:i/>
          <w:vanish/>
          <w:highlight w:val="yellow"/>
        </w:rPr>
        <w:t xml:space="preserve">ON </w:t>
      </w:r>
      <w:r w:rsidRPr="00911564">
        <w:rPr>
          <w:i/>
          <w:vanish/>
          <w:highlight w:val="yellow"/>
        </w:rPr>
        <w:t>ALL PROJECTS WITH 4</w:t>
      </w:r>
      <w:r w:rsidR="00416741">
        <w:rPr>
          <w:i/>
          <w:vanish/>
          <w:highlight w:val="yellow"/>
        </w:rPr>
        <w:t xml:space="preserve">01, 402, 403, 405, AND/OR 418 </w:t>
      </w:r>
      <w:r w:rsidR="002B509B">
        <w:rPr>
          <w:i/>
          <w:vanish/>
          <w:highlight w:val="yellow"/>
        </w:rPr>
        <w:t xml:space="preserve">WORK </w:t>
      </w:r>
      <w:r w:rsidRPr="00911564">
        <w:rPr>
          <w:i/>
          <w:vanish/>
          <w:highlight w:val="yellow"/>
        </w:rPr>
        <w:t>AND WHEN RECOMMENDED BY THE PAVEMENTS REPORT/MEMO AND/OR BY THE MATERIALS ENGINEER</w:t>
      </w:r>
    </w:p>
    <w:p w:rsidR="007078BB" w:rsidRPr="00911564" w:rsidRDefault="00077B13" w:rsidP="003931D1">
      <w:pPr>
        <w:ind w:hanging="720"/>
        <w:rPr>
          <w:vanish/>
        </w:rPr>
      </w:pPr>
      <w:r w:rsidRPr="00911564">
        <w:rPr>
          <w:vanish/>
        </w:rPr>
        <w:t>$$412</w:t>
      </w:r>
      <w:r w:rsidR="007078BB" w:rsidRPr="00911564">
        <w:rPr>
          <w:vanish/>
        </w:rPr>
        <w:t>.00A</w:t>
      </w:r>
      <w:bookmarkStart w:id="0" w:name="_GoBack"/>
      <w:bookmarkEnd w:id="0"/>
    </w:p>
    <w:p w:rsidR="007078BB" w:rsidRPr="00911564" w:rsidRDefault="007078BB" w:rsidP="003931D1">
      <w:pPr>
        <w:pStyle w:val="Heading9"/>
      </w:pPr>
      <w:r w:rsidRPr="00911564">
        <w:t>Section 4</w:t>
      </w:r>
      <w:r w:rsidR="00077B13" w:rsidRPr="00911564">
        <w:t>1</w:t>
      </w:r>
      <w:r w:rsidRPr="00911564">
        <w:t>2</w:t>
      </w:r>
      <w:r w:rsidR="003931D1" w:rsidRPr="00911564">
        <w:t xml:space="preserve">. — </w:t>
      </w:r>
      <w:r w:rsidR="00006C14" w:rsidRPr="00911564">
        <w:t xml:space="preserve">ASPHALT </w:t>
      </w:r>
      <w:r w:rsidR="00077B13" w:rsidRPr="00911564">
        <w:t>TA</w:t>
      </w:r>
      <w:r w:rsidR="00006C14" w:rsidRPr="00911564">
        <w:t>C</w:t>
      </w:r>
      <w:r w:rsidR="00077B13" w:rsidRPr="00911564">
        <w:t xml:space="preserve">K </w:t>
      </w:r>
      <w:r w:rsidR="00006C14" w:rsidRPr="00911564">
        <w:t>C</w:t>
      </w:r>
      <w:r w:rsidRPr="00911564">
        <w:t>OAT</w:t>
      </w:r>
    </w:p>
    <w:p w:rsidR="007078BB" w:rsidRPr="00911564" w:rsidRDefault="007078BB" w:rsidP="002712D6">
      <w:pPr>
        <w:jc w:val="center"/>
        <w:rPr>
          <w:vanish/>
          <w:color w:val="FF0000"/>
          <w:sz w:val="20"/>
        </w:rPr>
      </w:pPr>
      <w:r w:rsidRPr="00911564">
        <w:rPr>
          <w:vanish/>
          <w:color w:val="FF0000"/>
          <w:sz w:val="20"/>
        </w:rPr>
        <w:t>Revised</w:t>
      </w:r>
      <w:r w:rsidR="00006C14" w:rsidRPr="00911564">
        <w:rPr>
          <w:vanish/>
          <w:color w:val="FF0000"/>
          <w:sz w:val="20"/>
        </w:rPr>
        <w:t xml:space="preserve"> </w:t>
      </w:r>
      <w:r w:rsidR="007A38D8">
        <w:rPr>
          <w:vanish/>
          <w:color w:val="FF0000"/>
          <w:sz w:val="20"/>
        </w:rPr>
        <w:t>2</w:t>
      </w:r>
      <w:r w:rsidR="00ED0F08">
        <w:rPr>
          <w:vanish/>
          <w:color w:val="FF0000"/>
          <w:sz w:val="20"/>
        </w:rPr>
        <w:t>5</w:t>
      </w:r>
      <w:r w:rsidR="007A38D8" w:rsidRPr="00911564">
        <w:rPr>
          <w:vanish/>
          <w:color w:val="FF0000"/>
          <w:sz w:val="20"/>
        </w:rPr>
        <w:t xml:space="preserve"> </w:t>
      </w:r>
      <w:r w:rsidR="00E42385">
        <w:rPr>
          <w:vanish/>
          <w:color w:val="FF0000"/>
          <w:sz w:val="20"/>
        </w:rPr>
        <w:t>January</w:t>
      </w:r>
      <w:r w:rsidR="008A33B2" w:rsidRPr="00911564">
        <w:rPr>
          <w:vanish/>
          <w:color w:val="FF0000"/>
          <w:sz w:val="20"/>
        </w:rPr>
        <w:t xml:space="preserve"> </w:t>
      </w:r>
      <w:r w:rsidR="00E42385" w:rsidRPr="00911564">
        <w:rPr>
          <w:vanish/>
          <w:color w:val="FF0000"/>
          <w:sz w:val="20"/>
        </w:rPr>
        <w:t>201</w:t>
      </w:r>
      <w:r w:rsidR="00E42385">
        <w:rPr>
          <w:vanish/>
          <w:color w:val="FF0000"/>
          <w:sz w:val="20"/>
        </w:rPr>
        <w:t>8</w:t>
      </w:r>
    </w:p>
    <w:p w:rsidR="008E0E97" w:rsidRPr="002D16FA" w:rsidRDefault="008E0E97" w:rsidP="002712D6">
      <w:pPr>
        <w:rPr>
          <w:highlight w:val="lightGray"/>
        </w:rPr>
      </w:pPr>
    </w:p>
    <w:p w:rsidR="008A117E" w:rsidRPr="00911564" w:rsidRDefault="0093111D" w:rsidP="008A117E">
      <w:pPr>
        <w:rPr>
          <w:i/>
          <w:strike/>
          <w:vanish/>
          <w:highlight w:val="yellow"/>
        </w:rPr>
      </w:pPr>
      <w:bookmarkStart w:id="1" w:name="OLE_LINK3"/>
      <w:r w:rsidRPr="00730255">
        <w:rPr>
          <w:i/>
          <w:vanish/>
          <w:highlight w:val="yellow"/>
        </w:rPr>
        <w:t xml:space="preserve">INCLUDE CLAUSE $$412.05A WHEN </w:t>
      </w:r>
      <w:r w:rsidR="00416741">
        <w:rPr>
          <w:i/>
          <w:vanish/>
          <w:highlight w:val="yellow"/>
        </w:rPr>
        <w:t xml:space="preserve">ASPHALT </w:t>
      </w:r>
      <w:r w:rsidR="00CE66FC" w:rsidRPr="00911564">
        <w:rPr>
          <w:i/>
          <w:vanish/>
          <w:highlight w:val="yellow"/>
        </w:rPr>
        <w:t xml:space="preserve">PAVEMENT </w:t>
      </w:r>
      <w:r w:rsidR="007F1242" w:rsidRPr="00911564">
        <w:rPr>
          <w:i/>
          <w:vanish/>
          <w:highlight w:val="yellow"/>
        </w:rPr>
        <w:t>THI</w:t>
      </w:r>
      <w:r w:rsidR="00CE66FC" w:rsidRPr="00911564">
        <w:rPr>
          <w:i/>
          <w:vanish/>
          <w:highlight w:val="yellow"/>
        </w:rPr>
        <w:t>CK</w:t>
      </w:r>
      <w:r w:rsidR="007F1242" w:rsidRPr="00911564">
        <w:rPr>
          <w:i/>
          <w:vanish/>
          <w:highlight w:val="yellow"/>
        </w:rPr>
        <w:t>N</w:t>
      </w:r>
      <w:r w:rsidR="00CE66FC" w:rsidRPr="00911564">
        <w:rPr>
          <w:i/>
          <w:vanish/>
          <w:highlight w:val="yellow"/>
        </w:rPr>
        <w:t>ESS IS 1-INCH OR LESS</w:t>
      </w:r>
      <w:r w:rsidR="0052327C">
        <w:rPr>
          <w:i/>
          <w:vanish/>
          <w:highlight w:val="yellow"/>
        </w:rPr>
        <w:t xml:space="preserve">. </w:t>
      </w:r>
      <w:r w:rsidR="00416741">
        <w:rPr>
          <w:i/>
          <w:vanish/>
          <w:highlight w:val="yellow"/>
        </w:rPr>
        <w:t xml:space="preserve"> IF THE ASPHALT PAVEMENT THICKNESS IS GREATER THAN 1-INCH, THEN DO NOT USE THIS CLAUSE</w:t>
      </w:r>
      <w:r w:rsidR="007F1242" w:rsidRPr="00911564">
        <w:rPr>
          <w:i/>
          <w:vanish/>
          <w:highlight w:val="yellow"/>
        </w:rPr>
        <w:t xml:space="preserve"> </w:t>
      </w:r>
      <w:r w:rsidR="00063DAE">
        <w:rPr>
          <w:i/>
          <w:vanish/>
          <w:highlight w:val="yellow"/>
        </w:rPr>
        <w:t xml:space="preserve">- </w:t>
      </w:r>
      <w:r w:rsidR="008A117E" w:rsidRPr="00911564">
        <w:rPr>
          <w:i/>
          <w:vanish/>
          <w:highlight w:val="yellow"/>
        </w:rPr>
        <w:t>VERIFY WITH</w:t>
      </w:r>
      <w:r w:rsidR="008A117E" w:rsidRPr="00911564">
        <w:rPr>
          <w:i/>
          <w:iCs/>
          <w:vanish/>
          <w:highlight w:val="yellow"/>
        </w:rPr>
        <w:t xml:space="preserve"> </w:t>
      </w:r>
      <w:r w:rsidR="007F1242" w:rsidRPr="00911564">
        <w:rPr>
          <w:i/>
          <w:iCs/>
          <w:vanish/>
          <w:highlight w:val="yellow"/>
        </w:rPr>
        <w:t>PAVEMENT</w:t>
      </w:r>
      <w:r w:rsidR="009664F3" w:rsidRPr="00911564">
        <w:rPr>
          <w:i/>
          <w:iCs/>
          <w:vanish/>
          <w:highlight w:val="yellow"/>
        </w:rPr>
        <w:t>S</w:t>
      </w:r>
      <w:r w:rsidR="007F1242" w:rsidRPr="00911564">
        <w:rPr>
          <w:i/>
          <w:iCs/>
          <w:vanish/>
          <w:highlight w:val="yellow"/>
        </w:rPr>
        <w:t>/</w:t>
      </w:r>
      <w:r w:rsidR="008A117E" w:rsidRPr="00911564">
        <w:rPr>
          <w:i/>
          <w:vanish/>
          <w:highlight w:val="yellow"/>
        </w:rPr>
        <w:t>MATERIALS ENGINEER IF CLAUSE IS APPROPRIATE TO USE</w:t>
      </w:r>
    </w:p>
    <w:p w:rsidR="008A117E" w:rsidRPr="00911564" w:rsidRDefault="008A117E" w:rsidP="008A117E">
      <w:pPr>
        <w:ind w:hanging="720"/>
        <w:rPr>
          <w:vanish/>
        </w:rPr>
      </w:pPr>
      <w:r w:rsidRPr="00911564">
        <w:rPr>
          <w:vanish/>
        </w:rPr>
        <w:t>$$412.05A</w:t>
      </w:r>
    </w:p>
    <w:p w:rsidR="008A117E" w:rsidRPr="00911564" w:rsidRDefault="008A117E" w:rsidP="008A117E">
      <w:r w:rsidRPr="00911564">
        <w:t>412.05(b).  Delete the Subsection and substitute the following:</w:t>
      </w:r>
    </w:p>
    <w:p w:rsidR="008A117E" w:rsidRPr="00954465" w:rsidRDefault="008A117E" w:rsidP="008A117E">
      <w:pPr>
        <w:rPr>
          <w:iCs/>
        </w:rPr>
      </w:pPr>
    </w:p>
    <w:p w:rsidR="008A117E" w:rsidRPr="00911564" w:rsidRDefault="008A117E" w:rsidP="008A117E">
      <w:pPr>
        <w:widowControl/>
        <w:autoSpaceDE/>
        <w:autoSpaceDN/>
        <w:ind w:left="360"/>
      </w:pPr>
      <w:r w:rsidRPr="00911564">
        <w:rPr>
          <w:b/>
        </w:rPr>
        <w:t>(b)</w:t>
      </w:r>
      <w:r w:rsidRPr="00911564">
        <w:t xml:space="preserve"> Ambient air and pavement temper</w:t>
      </w:r>
      <w:r w:rsidR="00D34FE1">
        <w:t>atures are above 60 °F</w:t>
      </w:r>
      <w:r w:rsidRPr="00911564">
        <w:t xml:space="preserve"> and rising</w:t>
      </w:r>
      <w:r w:rsidR="00AA773C">
        <w:t>; and</w:t>
      </w:r>
    </w:p>
    <w:p w:rsidR="008A117E" w:rsidRPr="00911564" w:rsidRDefault="008A117E" w:rsidP="008A117E">
      <w:pPr>
        <w:widowControl/>
        <w:autoSpaceDE/>
        <w:autoSpaceDN/>
        <w:ind w:left="360"/>
        <w:rPr>
          <w:highlight w:val="cyan"/>
        </w:rPr>
      </w:pPr>
    </w:p>
    <w:p w:rsidR="007750BB" w:rsidRPr="00911564" w:rsidRDefault="007750BB" w:rsidP="007750BB">
      <w:pPr>
        <w:rPr>
          <w:i/>
          <w:strike/>
          <w:vanish/>
          <w:highlight w:val="yellow"/>
        </w:rPr>
      </w:pPr>
      <w:r w:rsidRPr="00911564">
        <w:rPr>
          <w:i/>
          <w:vanish/>
          <w:highlight w:val="yellow"/>
        </w:rPr>
        <w:t xml:space="preserve">INCLUDE </w:t>
      </w:r>
      <w:r w:rsidR="009B72CF">
        <w:rPr>
          <w:i/>
          <w:vanish/>
          <w:highlight w:val="yellow"/>
        </w:rPr>
        <w:t>CLAUSE $$412.06</w:t>
      </w:r>
      <w:r w:rsidR="00373443" w:rsidRPr="00730255">
        <w:rPr>
          <w:i/>
          <w:vanish/>
          <w:highlight w:val="yellow"/>
        </w:rPr>
        <w:t>A</w:t>
      </w:r>
      <w:bookmarkEnd w:id="1"/>
      <w:r w:rsidR="006A4691" w:rsidRPr="00911564">
        <w:rPr>
          <w:i/>
          <w:vanish/>
          <w:highlight w:val="yellow"/>
        </w:rPr>
        <w:t xml:space="preserve"> ON</w:t>
      </w:r>
      <w:r w:rsidRPr="00911564">
        <w:rPr>
          <w:i/>
          <w:vanish/>
          <w:highlight w:val="yellow"/>
        </w:rPr>
        <w:t xml:space="preserve"> </w:t>
      </w:r>
      <w:r w:rsidR="009B72CF">
        <w:rPr>
          <w:i/>
          <w:vanish/>
          <w:highlight w:val="yellow"/>
        </w:rPr>
        <w:t xml:space="preserve">ALL </w:t>
      </w:r>
      <w:r w:rsidRPr="00911564">
        <w:rPr>
          <w:i/>
          <w:vanish/>
          <w:highlight w:val="yellow"/>
        </w:rPr>
        <w:t>PROJECTS</w:t>
      </w:r>
      <w:r w:rsidR="00B74BEB">
        <w:rPr>
          <w:i/>
          <w:vanish/>
          <w:highlight w:val="yellow"/>
        </w:rPr>
        <w:t xml:space="preserve"> WITH 412 ASPHALT TACK COAT APPLICATION </w:t>
      </w:r>
      <w:r w:rsidR="00341507" w:rsidRPr="00911564">
        <w:rPr>
          <w:i/>
          <w:vanish/>
          <w:highlight w:val="yellow"/>
        </w:rPr>
        <w:t xml:space="preserve">- </w:t>
      </w:r>
      <w:r w:rsidRPr="00911564">
        <w:rPr>
          <w:i/>
          <w:vanish/>
          <w:highlight w:val="yellow"/>
        </w:rPr>
        <w:t>VERIFY WITH</w:t>
      </w:r>
      <w:r w:rsidRPr="00911564">
        <w:rPr>
          <w:i/>
          <w:iCs/>
          <w:vanish/>
          <w:highlight w:val="yellow"/>
        </w:rPr>
        <w:t xml:space="preserve"> </w:t>
      </w:r>
      <w:r w:rsidRPr="00911564">
        <w:rPr>
          <w:i/>
          <w:vanish/>
          <w:highlight w:val="yellow"/>
        </w:rPr>
        <w:t>MATERIALS ENGINEER IF CLAUSE IS APPROPRIATE TO USE</w:t>
      </w:r>
    </w:p>
    <w:p w:rsidR="005D79A2" w:rsidRPr="00911564" w:rsidRDefault="005D79A2" w:rsidP="00F66AD7">
      <w:pPr>
        <w:ind w:hanging="720"/>
        <w:rPr>
          <w:vanish/>
        </w:rPr>
      </w:pPr>
      <w:r w:rsidRPr="00911564">
        <w:rPr>
          <w:vanish/>
        </w:rPr>
        <w:t>$$</w:t>
      </w:r>
      <w:r w:rsidR="00825F9F" w:rsidRPr="00911564">
        <w:rPr>
          <w:vanish/>
        </w:rPr>
        <w:t>41</w:t>
      </w:r>
      <w:r w:rsidRPr="00911564">
        <w:rPr>
          <w:vanish/>
        </w:rPr>
        <w:t>2.0</w:t>
      </w:r>
      <w:r w:rsidR="00825F9F" w:rsidRPr="00911564">
        <w:rPr>
          <w:vanish/>
        </w:rPr>
        <w:t>6</w:t>
      </w:r>
      <w:r w:rsidR="005B6D44" w:rsidRPr="00911564">
        <w:rPr>
          <w:vanish/>
        </w:rPr>
        <w:t>A</w:t>
      </w:r>
    </w:p>
    <w:p w:rsidR="00AA3E73" w:rsidRPr="00911564" w:rsidRDefault="00AA3E73" w:rsidP="00AA3E73">
      <w:pPr>
        <w:widowControl/>
        <w:autoSpaceDE/>
        <w:autoSpaceDN/>
        <w:rPr>
          <w:b/>
          <w:bCs/>
        </w:rPr>
      </w:pPr>
      <w:r w:rsidRPr="00911564">
        <w:t>412.06.  Delete the second paragraph and substitute the following:</w:t>
      </w:r>
    </w:p>
    <w:p w:rsidR="00AA3E73" w:rsidRPr="00911564" w:rsidRDefault="00AA3E73" w:rsidP="00AA3E73">
      <w:pPr>
        <w:widowControl/>
        <w:autoSpaceDE/>
        <w:autoSpaceDN/>
      </w:pPr>
    </w:p>
    <w:p w:rsidR="00AA3E73" w:rsidRPr="00911564" w:rsidRDefault="00AA3E73" w:rsidP="00AA3E73">
      <w:pPr>
        <w:widowControl/>
        <w:autoSpaceDE/>
        <w:autoSpaceDN/>
        <w:rPr>
          <w:spacing w:val="-2"/>
        </w:rPr>
      </w:pPr>
      <w:r w:rsidRPr="00911564">
        <w:rPr>
          <w:spacing w:val="-2"/>
        </w:rPr>
        <w:t xml:space="preserve">Apply </w:t>
      </w:r>
      <w:r w:rsidR="00083DE5" w:rsidRPr="00911564">
        <w:rPr>
          <w:spacing w:val="-2"/>
        </w:rPr>
        <w:t xml:space="preserve">the </w:t>
      </w:r>
      <w:r w:rsidRPr="00911564">
        <w:rPr>
          <w:spacing w:val="-2"/>
        </w:rPr>
        <w:t>asphalt tack coat according to Subsection 407.09 and at a rate indicated in Table</w:t>
      </w:r>
      <w:r w:rsidR="00031364" w:rsidRPr="00911564">
        <w:rPr>
          <w:spacing w:val="-2"/>
        </w:rPr>
        <w:t xml:space="preserve"> </w:t>
      </w:r>
      <w:r w:rsidR="00083DE5" w:rsidRPr="00911564">
        <w:rPr>
          <w:spacing w:val="-2"/>
        </w:rPr>
        <w:t>412-1.</w:t>
      </w:r>
    </w:p>
    <w:p w:rsidR="00AA3E73" w:rsidRPr="002D16FA" w:rsidRDefault="00AA3E73" w:rsidP="00AA3E73">
      <w:pPr>
        <w:widowControl/>
        <w:autoSpaceDE/>
        <w:autoSpaceDN/>
        <w:rPr>
          <w:highlight w:val="lightGray"/>
        </w:rPr>
      </w:pPr>
    </w:p>
    <w:p w:rsidR="00F4305D" w:rsidRPr="00911564" w:rsidRDefault="00F4305D" w:rsidP="00AA3E73">
      <w:pPr>
        <w:widowControl/>
        <w:autoSpaceDE/>
        <w:autoSpaceDN/>
      </w:pPr>
      <w:r w:rsidRPr="00911564">
        <w:t>Provide the CO with the target residual and bar application rates within the range specified in Table 412-1.  Control the rate of application within plus or minus 0.01 gallons per square yard of the target application rate and within the allowable range.  Provide the CO with the specific gravity of the bituminous material corrected for spray temperature.</w:t>
      </w:r>
    </w:p>
    <w:p w:rsidR="00F4305D" w:rsidRPr="002D16FA" w:rsidRDefault="00F4305D" w:rsidP="00AA3E73">
      <w:pPr>
        <w:widowControl/>
        <w:autoSpaceDE/>
        <w:autoSpaceDN/>
        <w:rPr>
          <w:highlight w:val="lightGray"/>
        </w:rPr>
      </w:pPr>
    </w:p>
    <w:p w:rsidR="00AA3E73" w:rsidRPr="00911564" w:rsidRDefault="00AA3E73" w:rsidP="00AA3E73">
      <w:pPr>
        <w:widowControl/>
        <w:autoSpaceDE/>
        <w:autoSpaceDN/>
        <w:contextualSpacing/>
      </w:pPr>
      <w:r w:rsidRPr="00911564">
        <w:t xml:space="preserve">Set spray bar height to ensure uniform coverage and at least a double overlap, but not </w:t>
      </w:r>
      <w:r w:rsidR="008D763F">
        <w:t xml:space="preserve">to </w:t>
      </w:r>
      <w:r w:rsidRPr="00911564">
        <w:t>exceed triple overlap coverage.</w:t>
      </w:r>
      <w:r w:rsidR="0014027E" w:rsidRPr="00911564">
        <w:t xml:space="preserve"> </w:t>
      </w:r>
      <w:r w:rsidRPr="00911564">
        <w:t xml:space="preserve"> Set nozzle angle settings between 15 to 30 degrees from the center of the s</w:t>
      </w:r>
      <w:r w:rsidR="00683F02">
        <w:t>p</w:t>
      </w:r>
      <w:r w:rsidRPr="00911564">
        <w:t xml:space="preserve">ray bar axis. </w:t>
      </w:r>
      <w:r w:rsidR="0014027E" w:rsidRPr="00911564">
        <w:t xml:space="preserve"> </w:t>
      </w:r>
      <w:r w:rsidRPr="00911564">
        <w:t>Use the same size nozzles, all set at the same angle, open, and functioning properly.</w:t>
      </w:r>
    </w:p>
    <w:p w:rsidR="00AA3E73" w:rsidRPr="002D16FA" w:rsidRDefault="00AA3E73" w:rsidP="00AA3E73">
      <w:pPr>
        <w:widowControl/>
        <w:autoSpaceDE/>
        <w:autoSpaceDN/>
        <w:contextualSpacing/>
        <w:rPr>
          <w:highlight w:val="lightGray"/>
        </w:rPr>
      </w:pPr>
    </w:p>
    <w:tbl>
      <w:tblPr>
        <w:tblW w:w="5000" w:type="pct"/>
        <w:jc w:val="center"/>
        <w:tblCellMar>
          <w:left w:w="57" w:type="dxa"/>
          <w:right w:w="57" w:type="dxa"/>
        </w:tblCellMar>
        <w:tblLook w:val="0000" w:firstRow="0" w:lastRow="0" w:firstColumn="0" w:lastColumn="0" w:noHBand="0" w:noVBand="0"/>
      </w:tblPr>
      <w:tblGrid>
        <w:gridCol w:w="2069"/>
        <w:gridCol w:w="1694"/>
        <w:gridCol w:w="1658"/>
        <w:gridCol w:w="1743"/>
        <w:gridCol w:w="2310"/>
      </w:tblGrid>
      <w:tr w:rsidR="00AA3E73" w:rsidRPr="00AC0C32" w:rsidTr="00911564">
        <w:trPr>
          <w:cantSplit/>
          <w:trHeight w:val="312"/>
          <w:jc w:val="center"/>
        </w:trPr>
        <w:tc>
          <w:tcPr>
            <w:tcW w:w="5000" w:type="pct"/>
            <w:gridSpan w:val="5"/>
            <w:tcBorders>
              <w:bottom w:val="single" w:sz="6" w:space="0" w:color="auto"/>
            </w:tcBorders>
            <w:shd w:val="clear" w:color="auto" w:fill="FFFFFF"/>
            <w:vAlign w:val="center"/>
          </w:tcPr>
          <w:p w:rsidR="00AA3E73" w:rsidRPr="00911564" w:rsidRDefault="00AA3E73" w:rsidP="00F92668">
            <w:pPr>
              <w:widowControl/>
              <w:autoSpaceDE/>
              <w:autoSpaceDN/>
              <w:jc w:val="center"/>
              <w:rPr>
                <w:b/>
              </w:rPr>
            </w:pPr>
            <w:r w:rsidRPr="00911564">
              <w:rPr>
                <w:sz w:val="20"/>
                <w:szCs w:val="20"/>
              </w:rPr>
              <w:br w:type="page"/>
            </w:r>
            <w:r w:rsidRPr="00911564">
              <w:rPr>
                <w:b/>
              </w:rPr>
              <w:t>Table 412-1</w:t>
            </w:r>
          </w:p>
          <w:p w:rsidR="00AA3E73" w:rsidRPr="00911564" w:rsidRDefault="00AA3E73" w:rsidP="00F92668">
            <w:pPr>
              <w:widowControl/>
              <w:autoSpaceDE/>
              <w:autoSpaceDN/>
              <w:jc w:val="center"/>
              <w:rPr>
                <w:b/>
                <w:sz w:val="20"/>
                <w:szCs w:val="20"/>
                <w:vertAlign w:val="superscript"/>
              </w:rPr>
            </w:pPr>
            <w:r w:rsidRPr="00911564">
              <w:rPr>
                <w:b/>
              </w:rPr>
              <w:t>Asphalt Tack Coat Application Rate</w:t>
            </w:r>
            <w:r w:rsidRPr="00911564">
              <w:rPr>
                <w:b/>
                <w:sz w:val="20"/>
                <w:szCs w:val="20"/>
                <w:vertAlign w:val="superscript"/>
              </w:rPr>
              <w:t>(1)</w:t>
            </w:r>
          </w:p>
        </w:tc>
      </w:tr>
      <w:tr w:rsidR="0098061A" w:rsidRPr="00AC0C32" w:rsidTr="0098061A">
        <w:trPr>
          <w:cantSplit/>
          <w:trHeight w:val="312"/>
          <w:jc w:val="center"/>
        </w:trPr>
        <w:tc>
          <w:tcPr>
            <w:tcW w:w="1092" w:type="pct"/>
            <w:tcBorders>
              <w:top w:val="single" w:sz="6" w:space="0" w:color="auto"/>
              <w:left w:val="single" w:sz="6" w:space="0" w:color="auto"/>
              <w:bottom w:val="nil"/>
              <w:right w:val="nil"/>
            </w:tcBorders>
            <w:shd w:val="clear" w:color="auto" w:fill="FFFFFF"/>
            <w:vAlign w:val="center"/>
          </w:tcPr>
          <w:p w:rsidR="00AA3E73" w:rsidRPr="00911564" w:rsidRDefault="00AA3E73" w:rsidP="00193AEA">
            <w:pPr>
              <w:adjustRightInd w:val="0"/>
              <w:jc w:val="center"/>
              <w:rPr>
                <w:b/>
                <w:bCs/>
              </w:rPr>
            </w:pPr>
            <w:r w:rsidRPr="00911564">
              <w:rPr>
                <w:b/>
                <w:bCs/>
              </w:rPr>
              <w:t>Pavement Type</w:t>
            </w:r>
          </w:p>
        </w:tc>
        <w:tc>
          <w:tcPr>
            <w:tcW w:w="894"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b/>
                <w:bCs/>
                <w:sz w:val="20"/>
                <w:szCs w:val="20"/>
              </w:rPr>
            </w:pPr>
            <w:r w:rsidRPr="00911564">
              <w:rPr>
                <w:b/>
                <w:bCs/>
              </w:rPr>
              <w:t>Residual Rate</w:t>
            </w:r>
            <w:r w:rsidRPr="00911564">
              <w:rPr>
                <w:b/>
                <w:sz w:val="20"/>
                <w:szCs w:val="20"/>
                <w:vertAlign w:val="superscript"/>
              </w:rPr>
              <w:t>(2)</w:t>
            </w:r>
          </w:p>
        </w:tc>
        <w:tc>
          <w:tcPr>
            <w:tcW w:w="875" w:type="pct"/>
            <w:tcBorders>
              <w:top w:val="single" w:sz="6" w:space="0" w:color="auto"/>
              <w:left w:val="single" w:sz="6" w:space="0" w:color="auto"/>
              <w:bottom w:val="nil"/>
              <w:right w:val="single" w:sz="6" w:space="0" w:color="auto"/>
            </w:tcBorders>
            <w:shd w:val="clear" w:color="auto" w:fill="FFFFFF"/>
            <w:vAlign w:val="center"/>
          </w:tcPr>
          <w:p w:rsidR="00AA3E73" w:rsidRPr="00911564" w:rsidRDefault="00AA3E73">
            <w:pPr>
              <w:adjustRightInd w:val="0"/>
              <w:jc w:val="center"/>
              <w:rPr>
                <w:b/>
                <w:bCs/>
              </w:rPr>
            </w:pPr>
            <w:r w:rsidRPr="00911564">
              <w:rPr>
                <w:b/>
                <w:bCs/>
              </w:rPr>
              <w:t>Bar Rate</w:t>
            </w:r>
          </w:p>
          <w:p w:rsidR="00AA3E73" w:rsidRPr="00911564" w:rsidRDefault="00AA3E73">
            <w:pPr>
              <w:adjustRightInd w:val="0"/>
              <w:jc w:val="center"/>
              <w:rPr>
                <w:b/>
                <w:bCs/>
                <w:sz w:val="20"/>
                <w:szCs w:val="20"/>
              </w:rPr>
            </w:pPr>
            <w:r w:rsidRPr="00911564">
              <w:rPr>
                <w:b/>
                <w:bCs/>
              </w:rPr>
              <w:t>PG Binder</w:t>
            </w:r>
            <w:r w:rsidRPr="00911564">
              <w:rPr>
                <w:b/>
                <w:sz w:val="20"/>
                <w:szCs w:val="20"/>
                <w:vertAlign w:val="superscript"/>
              </w:rPr>
              <w:t>(3)</w:t>
            </w:r>
          </w:p>
        </w:tc>
        <w:tc>
          <w:tcPr>
            <w:tcW w:w="920"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b/>
                <w:bCs/>
              </w:rPr>
            </w:pPr>
            <w:r w:rsidRPr="00911564">
              <w:rPr>
                <w:b/>
                <w:bCs/>
              </w:rPr>
              <w:t>Bar Rate</w:t>
            </w:r>
          </w:p>
          <w:p w:rsidR="00AA3E73" w:rsidRPr="00911564" w:rsidRDefault="00AA3E73">
            <w:pPr>
              <w:adjustRightInd w:val="0"/>
              <w:jc w:val="center"/>
              <w:rPr>
                <w:b/>
                <w:bCs/>
                <w:sz w:val="20"/>
                <w:szCs w:val="20"/>
              </w:rPr>
            </w:pPr>
            <w:r w:rsidRPr="00911564">
              <w:rPr>
                <w:b/>
                <w:bCs/>
              </w:rPr>
              <w:t>Undiluted Emulsion</w:t>
            </w:r>
            <w:r w:rsidRPr="00911564">
              <w:rPr>
                <w:b/>
                <w:sz w:val="20"/>
                <w:szCs w:val="20"/>
                <w:vertAlign w:val="superscript"/>
              </w:rPr>
              <w:t>(4)</w:t>
            </w:r>
          </w:p>
        </w:tc>
        <w:tc>
          <w:tcPr>
            <w:tcW w:w="1219" w:type="pct"/>
            <w:tcBorders>
              <w:top w:val="single" w:sz="6" w:space="0" w:color="auto"/>
              <w:left w:val="single" w:sz="6" w:space="0" w:color="auto"/>
              <w:bottom w:val="nil"/>
              <w:right w:val="single" w:sz="6" w:space="0" w:color="auto"/>
            </w:tcBorders>
            <w:vAlign w:val="center"/>
          </w:tcPr>
          <w:p w:rsidR="00AA3E73" w:rsidRPr="00911564" w:rsidRDefault="00AA3E73">
            <w:pPr>
              <w:adjustRightInd w:val="0"/>
              <w:jc w:val="center"/>
              <w:rPr>
                <w:b/>
                <w:bCs/>
              </w:rPr>
            </w:pPr>
            <w:r w:rsidRPr="00911564">
              <w:rPr>
                <w:b/>
                <w:bCs/>
              </w:rPr>
              <w:t>Bar Rate</w:t>
            </w:r>
          </w:p>
          <w:p w:rsidR="00AA3E73" w:rsidRPr="00911564" w:rsidRDefault="00AA3E73">
            <w:pPr>
              <w:adjustRightInd w:val="0"/>
              <w:jc w:val="center"/>
              <w:rPr>
                <w:b/>
                <w:bCs/>
              </w:rPr>
            </w:pPr>
            <w:r w:rsidRPr="00911564">
              <w:rPr>
                <w:b/>
                <w:bCs/>
              </w:rPr>
              <w:t>Diluted Emulsion</w:t>
            </w:r>
            <w:r w:rsidRPr="00911564">
              <w:rPr>
                <w:b/>
                <w:sz w:val="20"/>
                <w:szCs w:val="20"/>
                <w:vertAlign w:val="superscript"/>
              </w:rPr>
              <w:t>(5)</w:t>
            </w:r>
          </w:p>
          <w:p w:rsidR="00AA3E73" w:rsidRPr="00911564" w:rsidRDefault="00AA3E73">
            <w:pPr>
              <w:adjustRightInd w:val="0"/>
              <w:jc w:val="center"/>
              <w:rPr>
                <w:b/>
                <w:bCs/>
                <w:sz w:val="20"/>
                <w:szCs w:val="20"/>
              </w:rPr>
            </w:pPr>
            <w:r w:rsidRPr="00911564">
              <w:rPr>
                <w:b/>
                <w:bCs/>
              </w:rPr>
              <w:t>(1:1 Ratio)</w:t>
            </w:r>
          </w:p>
        </w:tc>
      </w:tr>
      <w:tr w:rsidR="0098061A" w:rsidRPr="00AC0C32" w:rsidTr="00911564">
        <w:trPr>
          <w:cantSplit/>
          <w:trHeight w:val="298"/>
          <w:jc w:val="center"/>
        </w:trPr>
        <w:tc>
          <w:tcPr>
            <w:tcW w:w="1092" w:type="pct"/>
            <w:tcBorders>
              <w:top w:val="single" w:sz="6" w:space="0" w:color="auto"/>
              <w:left w:val="single" w:sz="6" w:space="0" w:color="auto"/>
              <w:bottom w:val="nil"/>
              <w:right w:val="nil"/>
            </w:tcBorders>
            <w:shd w:val="clear" w:color="auto" w:fill="FFFFFF"/>
            <w:vAlign w:val="center"/>
          </w:tcPr>
          <w:p w:rsidR="00AA3E73" w:rsidRPr="00911564" w:rsidRDefault="00AA3E73" w:rsidP="00193AEA">
            <w:pPr>
              <w:adjustRightInd w:val="0"/>
            </w:pPr>
            <w:r w:rsidRPr="00911564">
              <w:t>New Asphalt</w:t>
            </w:r>
          </w:p>
          <w:p w:rsidR="00AA3E73" w:rsidRPr="00911564" w:rsidRDefault="00AA3E73">
            <w:pPr>
              <w:adjustRightInd w:val="0"/>
            </w:pPr>
            <w:r w:rsidRPr="00911564">
              <w:t>Concrete Pavement</w:t>
            </w:r>
          </w:p>
        </w:tc>
        <w:tc>
          <w:tcPr>
            <w:tcW w:w="894"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vertAlign w:val="superscript"/>
              </w:rPr>
            </w:pPr>
            <w:r w:rsidRPr="00911564">
              <w:t>0.020 - 0.045</w:t>
            </w:r>
          </w:p>
        </w:tc>
        <w:tc>
          <w:tcPr>
            <w:tcW w:w="875" w:type="pct"/>
            <w:tcBorders>
              <w:top w:val="single" w:sz="6" w:space="0" w:color="auto"/>
              <w:left w:val="single" w:sz="6" w:space="0" w:color="auto"/>
              <w:bottom w:val="nil"/>
              <w:right w:val="single" w:sz="6" w:space="0" w:color="auto"/>
            </w:tcBorders>
            <w:shd w:val="clear" w:color="auto" w:fill="FFFFFF"/>
            <w:vAlign w:val="center"/>
          </w:tcPr>
          <w:p w:rsidR="00AA3E73" w:rsidRPr="00911564" w:rsidRDefault="00AA3E73">
            <w:pPr>
              <w:adjustRightInd w:val="0"/>
              <w:jc w:val="center"/>
            </w:pPr>
            <w:r w:rsidRPr="00911564">
              <w:t>0.025 - 0.045</w:t>
            </w:r>
          </w:p>
        </w:tc>
        <w:tc>
          <w:tcPr>
            <w:tcW w:w="920"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vertAlign w:val="superscript"/>
              </w:rPr>
            </w:pPr>
            <w:r w:rsidRPr="00911564">
              <w:t>0.030 - 0.065</w:t>
            </w:r>
          </w:p>
        </w:tc>
        <w:tc>
          <w:tcPr>
            <w:tcW w:w="1219" w:type="pct"/>
            <w:tcBorders>
              <w:top w:val="single" w:sz="6" w:space="0" w:color="auto"/>
              <w:left w:val="single" w:sz="6" w:space="0" w:color="auto"/>
              <w:bottom w:val="nil"/>
              <w:right w:val="single" w:sz="6" w:space="0" w:color="auto"/>
            </w:tcBorders>
            <w:vAlign w:val="center"/>
          </w:tcPr>
          <w:p w:rsidR="00AA3E73" w:rsidRPr="00911564" w:rsidRDefault="00AA3E73">
            <w:pPr>
              <w:adjustRightInd w:val="0"/>
              <w:jc w:val="center"/>
              <w:rPr>
                <w:vertAlign w:val="superscript"/>
              </w:rPr>
            </w:pPr>
            <w:r w:rsidRPr="00911564">
              <w:t>0.060 - 0.130</w:t>
            </w:r>
          </w:p>
        </w:tc>
      </w:tr>
      <w:tr w:rsidR="0098061A" w:rsidRPr="00AC0C32" w:rsidTr="00911564">
        <w:trPr>
          <w:cantSplit/>
          <w:trHeight w:val="298"/>
          <w:jc w:val="center"/>
        </w:trPr>
        <w:tc>
          <w:tcPr>
            <w:tcW w:w="1092" w:type="pct"/>
            <w:tcBorders>
              <w:top w:val="single" w:sz="6" w:space="0" w:color="auto"/>
              <w:left w:val="single" w:sz="6" w:space="0" w:color="auto"/>
              <w:bottom w:val="nil"/>
              <w:right w:val="nil"/>
            </w:tcBorders>
            <w:shd w:val="clear" w:color="auto" w:fill="FFFFFF"/>
            <w:vAlign w:val="center"/>
          </w:tcPr>
          <w:p w:rsidR="00AA3E73" w:rsidRPr="00911564" w:rsidRDefault="00AA3E73" w:rsidP="00193AEA">
            <w:pPr>
              <w:adjustRightInd w:val="0"/>
            </w:pPr>
            <w:r w:rsidRPr="00911564">
              <w:t>Existing Asphalt</w:t>
            </w:r>
          </w:p>
          <w:p w:rsidR="00AA3E73" w:rsidRPr="00911564" w:rsidRDefault="00AA3E73">
            <w:pPr>
              <w:adjustRightInd w:val="0"/>
            </w:pPr>
            <w:r w:rsidRPr="00911564">
              <w:t>Concrete Pavement</w:t>
            </w:r>
          </w:p>
        </w:tc>
        <w:tc>
          <w:tcPr>
            <w:tcW w:w="894"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vertAlign w:val="superscript"/>
              </w:rPr>
            </w:pPr>
            <w:r w:rsidRPr="00911564">
              <w:t>0.040 - 0.070</w:t>
            </w:r>
          </w:p>
        </w:tc>
        <w:tc>
          <w:tcPr>
            <w:tcW w:w="875" w:type="pct"/>
            <w:tcBorders>
              <w:top w:val="single" w:sz="6" w:space="0" w:color="auto"/>
              <w:left w:val="single" w:sz="6" w:space="0" w:color="auto"/>
              <w:bottom w:val="nil"/>
              <w:right w:val="single" w:sz="6" w:space="0" w:color="auto"/>
            </w:tcBorders>
            <w:shd w:val="clear" w:color="auto" w:fill="FFFFFF"/>
            <w:vAlign w:val="center"/>
          </w:tcPr>
          <w:p w:rsidR="00AA3E73" w:rsidRPr="00911564" w:rsidRDefault="00AA3E73">
            <w:pPr>
              <w:adjustRightInd w:val="0"/>
              <w:jc w:val="center"/>
            </w:pPr>
            <w:r w:rsidRPr="00911564">
              <w:t>0.040 - 0.060</w:t>
            </w:r>
          </w:p>
        </w:tc>
        <w:tc>
          <w:tcPr>
            <w:tcW w:w="920"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vertAlign w:val="superscript"/>
              </w:rPr>
            </w:pPr>
            <w:r w:rsidRPr="00911564">
              <w:t>0.060 - 0.105</w:t>
            </w:r>
          </w:p>
        </w:tc>
        <w:tc>
          <w:tcPr>
            <w:tcW w:w="1219" w:type="pct"/>
            <w:tcBorders>
              <w:top w:val="single" w:sz="6" w:space="0" w:color="auto"/>
              <w:left w:val="single" w:sz="6" w:space="0" w:color="auto"/>
              <w:bottom w:val="nil"/>
              <w:right w:val="single" w:sz="6" w:space="0" w:color="auto"/>
            </w:tcBorders>
            <w:vAlign w:val="center"/>
          </w:tcPr>
          <w:p w:rsidR="00AA3E73" w:rsidRPr="00911564" w:rsidRDefault="00AA3E73">
            <w:pPr>
              <w:adjustRightInd w:val="0"/>
              <w:jc w:val="center"/>
            </w:pPr>
            <w:r w:rsidRPr="00911564">
              <w:t>0.120 - 0.210</w:t>
            </w:r>
          </w:p>
        </w:tc>
      </w:tr>
      <w:tr w:rsidR="0098061A" w:rsidRPr="00AC0C32" w:rsidTr="00911564">
        <w:trPr>
          <w:cantSplit/>
          <w:trHeight w:val="298"/>
          <w:jc w:val="center"/>
        </w:trPr>
        <w:tc>
          <w:tcPr>
            <w:tcW w:w="1092" w:type="pct"/>
            <w:tcBorders>
              <w:top w:val="single" w:sz="6" w:space="0" w:color="auto"/>
              <w:left w:val="single" w:sz="6" w:space="0" w:color="auto"/>
              <w:bottom w:val="nil"/>
              <w:right w:val="nil"/>
            </w:tcBorders>
            <w:shd w:val="clear" w:color="auto" w:fill="FFFFFF"/>
            <w:vAlign w:val="center"/>
          </w:tcPr>
          <w:p w:rsidR="00AA3E73" w:rsidRPr="00911564" w:rsidRDefault="00AA3E73" w:rsidP="00193AEA">
            <w:r w:rsidRPr="00911564">
              <w:t xml:space="preserve">Milled </w:t>
            </w:r>
            <w:r w:rsidR="00AC72CB">
              <w:t xml:space="preserve">Asphalt Concrete </w:t>
            </w:r>
            <w:r w:rsidRPr="00911564">
              <w:t>Pavement</w:t>
            </w:r>
          </w:p>
        </w:tc>
        <w:tc>
          <w:tcPr>
            <w:tcW w:w="894"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rPr>
                <w:vertAlign w:val="superscript"/>
              </w:rPr>
            </w:pPr>
            <w:r w:rsidRPr="00911564">
              <w:t>0.040 - 0.080</w:t>
            </w:r>
          </w:p>
        </w:tc>
        <w:tc>
          <w:tcPr>
            <w:tcW w:w="875" w:type="pct"/>
            <w:tcBorders>
              <w:top w:val="single" w:sz="6" w:space="0" w:color="auto"/>
              <w:left w:val="single" w:sz="6" w:space="0" w:color="auto"/>
              <w:bottom w:val="nil"/>
              <w:right w:val="single" w:sz="6" w:space="0" w:color="auto"/>
            </w:tcBorders>
            <w:shd w:val="clear" w:color="auto" w:fill="FFFFFF"/>
            <w:vAlign w:val="center"/>
          </w:tcPr>
          <w:p w:rsidR="00AA3E73" w:rsidRPr="00911564" w:rsidRDefault="00AA3E73">
            <w:pPr>
              <w:adjustRightInd w:val="0"/>
              <w:jc w:val="center"/>
            </w:pPr>
            <w:r w:rsidRPr="00911564">
              <w:t>0.040 - 0.080</w:t>
            </w:r>
          </w:p>
        </w:tc>
        <w:tc>
          <w:tcPr>
            <w:tcW w:w="920"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pPr>
            <w:r w:rsidRPr="00911564">
              <w:t>0.060 - 0.120</w:t>
            </w:r>
          </w:p>
        </w:tc>
        <w:tc>
          <w:tcPr>
            <w:tcW w:w="1219" w:type="pct"/>
            <w:tcBorders>
              <w:top w:val="single" w:sz="6" w:space="0" w:color="auto"/>
              <w:left w:val="single" w:sz="6" w:space="0" w:color="auto"/>
              <w:bottom w:val="nil"/>
              <w:right w:val="single" w:sz="6" w:space="0" w:color="auto"/>
            </w:tcBorders>
            <w:vAlign w:val="center"/>
          </w:tcPr>
          <w:p w:rsidR="00AA3E73" w:rsidRPr="00911564" w:rsidRDefault="00AA3E73">
            <w:pPr>
              <w:adjustRightInd w:val="0"/>
              <w:jc w:val="center"/>
            </w:pPr>
            <w:r w:rsidRPr="00911564">
              <w:t>0.120 - 0.240</w:t>
            </w:r>
          </w:p>
        </w:tc>
      </w:tr>
      <w:tr w:rsidR="0098061A" w:rsidRPr="00AC0C32" w:rsidTr="00911564">
        <w:trPr>
          <w:cantSplit/>
          <w:trHeight w:val="552"/>
          <w:jc w:val="center"/>
        </w:trPr>
        <w:tc>
          <w:tcPr>
            <w:tcW w:w="1092" w:type="pct"/>
            <w:tcBorders>
              <w:top w:val="single" w:sz="6" w:space="0" w:color="auto"/>
              <w:left w:val="single" w:sz="6" w:space="0" w:color="auto"/>
              <w:bottom w:val="nil"/>
              <w:right w:val="nil"/>
            </w:tcBorders>
            <w:shd w:val="clear" w:color="auto" w:fill="FFFFFF"/>
            <w:vAlign w:val="center"/>
          </w:tcPr>
          <w:p w:rsidR="00AA3E73" w:rsidRPr="00911564" w:rsidRDefault="00AA3E73" w:rsidP="00193AEA">
            <w:pPr>
              <w:adjustRightInd w:val="0"/>
            </w:pPr>
            <w:r w:rsidRPr="00911564">
              <w:lastRenderedPageBreak/>
              <w:t>Portland Cement</w:t>
            </w:r>
          </w:p>
          <w:p w:rsidR="00AA3E73" w:rsidRPr="00911564" w:rsidRDefault="00AA3E73">
            <w:pPr>
              <w:adjustRightInd w:val="0"/>
            </w:pPr>
            <w:r w:rsidRPr="00911564">
              <w:t>Concrete Pavement</w:t>
            </w:r>
          </w:p>
        </w:tc>
        <w:tc>
          <w:tcPr>
            <w:tcW w:w="894"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pPr>
            <w:r w:rsidRPr="00911564">
              <w:t>0.030 - 0.050</w:t>
            </w:r>
          </w:p>
        </w:tc>
        <w:tc>
          <w:tcPr>
            <w:tcW w:w="875" w:type="pct"/>
            <w:tcBorders>
              <w:top w:val="single" w:sz="6" w:space="0" w:color="auto"/>
              <w:left w:val="single" w:sz="6" w:space="0" w:color="auto"/>
              <w:bottom w:val="nil"/>
              <w:right w:val="single" w:sz="6" w:space="0" w:color="auto"/>
            </w:tcBorders>
            <w:shd w:val="clear" w:color="auto" w:fill="FFFFFF"/>
            <w:vAlign w:val="center"/>
          </w:tcPr>
          <w:p w:rsidR="00AA3E73" w:rsidRPr="00911564" w:rsidRDefault="00AA3E73">
            <w:pPr>
              <w:adjustRightInd w:val="0"/>
              <w:jc w:val="center"/>
            </w:pPr>
            <w:r w:rsidRPr="00911564">
              <w:t>0.030 - 0.050</w:t>
            </w:r>
          </w:p>
        </w:tc>
        <w:tc>
          <w:tcPr>
            <w:tcW w:w="920" w:type="pct"/>
            <w:tcBorders>
              <w:top w:val="single" w:sz="6" w:space="0" w:color="auto"/>
              <w:left w:val="single" w:sz="6" w:space="0" w:color="auto"/>
              <w:bottom w:val="nil"/>
              <w:right w:val="nil"/>
            </w:tcBorders>
            <w:shd w:val="clear" w:color="auto" w:fill="FFFFFF"/>
            <w:vAlign w:val="center"/>
          </w:tcPr>
          <w:p w:rsidR="00AA3E73" w:rsidRPr="00911564" w:rsidRDefault="00AA3E73">
            <w:pPr>
              <w:adjustRightInd w:val="0"/>
              <w:jc w:val="center"/>
            </w:pPr>
            <w:r w:rsidRPr="00911564">
              <w:t>0.045 - 0.075</w:t>
            </w:r>
          </w:p>
        </w:tc>
        <w:tc>
          <w:tcPr>
            <w:tcW w:w="1219" w:type="pct"/>
            <w:tcBorders>
              <w:top w:val="single" w:sz="6" w:space="0" w:color="auto"/>
              <w:left w:val="single" w:sz="6" w:space="0" w:color="auto"/>
              <w:bottom w:val="nil"/>
              <w:right w:val="single" w:sz="6" w:space="0" w:color="auto"/>
            </w:tcBorders>
            <w:vAlign w:val="center"/>
          </w:tcPr>
          <w:p w:rsidR="00AA3E73" w:rsidRPr="00911564" w:rsidRDefault="00AA3E73">
            <w:pPr>
              <w:adjustRightInd w:val="0"/>
              <w:jc w:val="center"/>
            </w:pPr>
            <w:r w:rsidRPr="00911564">
              <w:t>0.090 - 0.150</w:t>
            </w:r>
          </w:p>
        </w:tc>
      </w:tr>
      <w:tr w:rsidR="00AA3E73" w:rsidRPr="00AC0C32" w:rsidTr="00911564">
        <w:trPr>
          <w:cantSplit/>
          <w:trHeight w:val="1155"/>
          <w:jc w:val="center"/>
        </w:trPr>
        <w:tc>
          <w:tcPr>
            <w:tcW w:w="5000" w:type="pct"/>
            <w:gridSpan w:val="5"/>
            <w:tcBorders>
              <w:top w:val="single" w:sz="6" w:space="0" w:color="auto"/>
            </w:tcBorders>
            <w:shd w:val="clear" w:color="auto" w:fill="FFFFFF"/>
            <w:vAlign w:val="center"/>
          </w:tcPr>
          <w:p w:rsidR="00AA3E73" w:rsidRPr="00911564" w:rsidRDefault="00AA3E73" w:rsidP="00911564">
            <w:pPr>
              <w:widowControl/>
              <w:autoSpaceDE/>
              <w:autoSpaceDN/>
              <w:adjustRightInd w:val="0"/>
              <w:rPr>
                <w:sz w:val="20"/>
                <w:szCs w:val="20"/>
              </w:rPr>
            </w:pPr>
            <w:r w:rsidRPr="00911564">
              <w:rPr>
                <w:sz w:val="20"/>
                <w:szCs w:val="20"/>
              </w:rPr>
              <w:t>(1)  Application rates are in gallons/yd</w:t>
            </w:r>
            <w:r w:rsidRPr="00911564">
              <w:rPr>
                <w:sz w:val="20"/>
                <w:szCs w:val="20"/>
                <w:vertAlign w:val="superscript"/>
              </w:rPr>
              <w:t>2</w:t>
            </w:r>
            <w:r w:rsidRPr="00911564">
              <w:rPr>
                <w:sz w:val="20"/>
                <w:szCs w:val="20"/>
              </w:rPr>
              <w:t>.</w:t>
            </w:r>
          </w:p>
          <w:p w:rsidR="00AA3E73" w:rsidRPr="00911564" w:rsidRDefault="00AA3E73" w:rsidP="00911564">
            <w:pPr>
              <w:widowControl/>
              <w:autoSpaceDE/>
              <w:autoSpaceDN/>
              <w:adjustRightInd w:val="0"/>
              <w:rPr>
                <w:sz w:val="20"/>
                <w:szCs w:val="20"/>
              </w:rPr>
            </w:pPr>
            <w:r w:rsidRPr="00911564">
              <w:rPr>
                <w:sz w:val="20"/>
                <w:szCs w:val="20"/>
              </w:rPr>
              <w:t>(2)  Residual asphalt: the remaining asphalt after an emulsion has completely cured or set.</w:t>
            </w:r>
          </w:p>
          <w:p w:rsidR="00AA3E73" w:rsidRPr="00911564" w:rsidRDefault="00AA3E73" w:rsidP="00911564">
            <w:pPr>
              <w:widowControl/>
              <w:autoSpaceDE/>
              <w:autoSpaceDN/>
              <w:adjustRightInd w:val="0"/>
              <w:rPr>
                <w:sz w:val="20"/>
                <w:szCs w:val="20"/>
              </w:rPr>
            </w:pPr>
            <w:r w:rsidRPr="00911564">
              <w:rPr>
                <w:sz w:val="20"/>
                <w:szCs w:val="20"/>
              </w:rPr>
              <w:t>(3)  Maintain a PG binder application rate of 1.0 times the target residual tack coat rate.</w:t>
            </w:r>
          </w:p>
          <w:p w:rsidR="00AA3E73" w:rsidRPr="00911564" w:rsidRDefault="00AA3E73" w:rsidP="00911564">
            <w:pPr>
              <w:widowControl/>
              <w:autoSpaceDE/>
              <w:autoSpaceDN/>
              <w:adjustRightInd w:val="0"/>
              <w:rPr>
                <w:sz w:val="20"/>
                <w:szCs w:val="20"/>
              </w:rPr>
            </w:pPr>
            <w:r w:rsidRPr="00911564">
              <w:rPr>
                <w:sz w:val="20"/>
                <w:szCs w:val="20"/>
              </w:rPr>
              <w:t>(4)  Maintain an undiluted application rate of 1.5 times the target residual tack coat rate.</w:t>
            </w:r>
          </w:p>
          <w:p w:rsidR="00083DE5" w:rsidRPr="002D16FA" w:rsidRDefault="00AA3E73" w:rsidP="00911564">
            <w:pPr>
              <w:widowControl/>
              <w:autoSpaceDE/>
              <w:autoSpaceDN/>
              <w:adjustRightInd w:val="0"/>
              <w:rPr>
                <w:sz w:val="20"/>
                <w:szCs w:val="20"/>
                <w:highlight w:val="lightGray"/>
              </w:rPr>
            </w:pPr>
            <w:r w:rsidRPr="00911564">
              <w:rPr>
                <w:sz w:val="20"/>
                <w:szCs w:val="20"/>
              </w:rPr>
              <w:t>(5)  Maintain a diluted application rate of 3.0 times the target residual tack coat rate.</w:t>
            </w:r>
          </w:p>
        </w:tc>
      </w:tr>
    </w:tbl>
    <w:p w:rsidR="00D307D1" w:rsidRDefault="00D307D1" w:rsidP="002A13AE">
      <w:pPr>
        <w:rPr>
          <w:i/>
          <w:highlight w:val="yellow"/>
        </w:rPr>
      </w:pPr>
    </w:p>
    <w:p w:rsidR="000139AA" w:rsidRDefault="002A13AE" w:rsidP="002A13AE">
      <w:pPr>
        <w:rPr>
          <w:i/>
          <w:vanish/>
          <w:highlight w:val="yellow"/>
        </w:rPr>
      </w:pPr>
      <w:r w:rsidRPr="00495038">
        <w:rPr>
          <w:i/>
          <w:vanish/>
          <w:highlight w:val="yellow"/>
        </w:rPr>
        <w:t xml:space="preserve">INCLUDE </w:t>
      </w:r>
      <w:r w:rsidR="00804C60">
        <w:rPr>
          <w:i/>
          <w:vanish/>
          <w:highlight w:val="yellow"/>
        </w:rPr>
        <w:t>CLAUSE $$412.07</w:t>
      </w:r>
      <w:r w:rsidR="009D48B0">
        <w:rPr>
          <w:i/>
          <w:vanish/>
          <w:highlight w:val="yellow"/>
        </w:rPr>
        <w:t>A</w:t>
      </w:r>
      <w:r w:rsidR="002A1878">
        <w:rPr>
          <w:i/>
          <w:vanish/>
          <w:highlight w:val="yellow"/>
        </w:rPr>
        <w:t xml:space="preserve"> </w:t>
      </w:r>
      <w:r w:rsidR="00691679">
        <w:rPr>
          <w:i/>
          <w:vanish/>
          <w:highlight w:val="yellow"/>
        </w:rPr>
        <w:t xml:space="preserve">WHEN </w:t>
      </w:r>
      <w:r w:rsidR="00287B24">
        <w:rPr>
          <w:i/>
          <w:vanish/>
          <w:highlight w:val="yellow"/>
        </w:rPr>
        <w:t xml:space="preserve">ONE OR MORE OF </w:t>
      </w:r>
      <w:r w:rsidR="007135F3">
        <w:rPr>
          <w:i/>
          <w:vanish/>
          <w:highlight w:val="yellow"/>
        </w:rPr>
        <w:t>THE FOLLOWING</w:t>
      </w:r>
      <w:r w:rsidR="00691679">
        <w:rPr>
          <w:i/>
          <w:vanish/>
          <w:highlight w:val="yellow"/>
        </w:rPr>
        <w:t xml:space="preserve"> SITUATIONS APPLY</w:t>
      </w:r>
      <w:r w:rsidR="00D910D4">
        <w:rPr>
          <w:i/>
          <w:vanish/>
          <w:highlight w:val="yellow"/>
        </w:rPr>
        <w:t>:</w:t>
      </w:r>
    </w:p>
    <w:p w:rsidR="000139AA" w:rsidRDefault="000139AA" w:rsidP="002A13AE">
      <w:pPr>
        <w:rPr>
          <w:i/>
          <w:vanish/>
          <w:highlight w:val="yellow"/>
        </w:rPr>
      </w:pPr>
    </w:p>
    <w:p w:rsidR="007135F3" w:rsidRDefault="00691679" w:rsidP="005A7A23">
      <w:pPr>
        <w:numPr>
          <w:ilvl w:val="0"/>
          <w:numId w:val="8"/>
        </w:numPr>
        <w:rPr>
          <w:i/>
          <w:vanish/>
          <w:highlight w:val="yellow"/>
        </w:rPr>
      </w:pPr>
      <w:r>
        <w:rPr>
          <w:i/>
          <w:vanish/>
          <w:highlight w:val="yellow"/>
        </w:rPr>
        <w:t xml:space="preserve">A </w:t>
      </w:r>
      <w:r w:rsidR="002A13AE" w:rsidRPr="00495038">
        <w:rPr>
          <w:i/>
          <w:vanish/>
          <w:highlight w:val="yellow"/>
        </w:rPr>
        <w:t xml:space="preserve">412 ASPHALT TACK COAT </w:t>
      </w:r>
      <w:r w:rsidR="00804C60">
        <w:rPr>
          <w:i/>
          <w:vanish/>
          <w:highlight w:val="yellow"/>
        </w:rPr>
        <w:t>PAY ITEM</w:t>
      </w:r>
      <w:r w:rsidR="002A13AE" w:rsidRPr="00495038">
        <w:rPr>
          <w:i/>
          <w:vanish/>
          <w:highlight w:val="yellow"/>
        </w:rPr>
        <w:t xml:space="preserve"> </w:t>
      </w:r>
      <w:r w:rsidR="007135F3">
        <w:rPr>
          <w:i/>
          <w:vanish/>
          <w:highlight w:val="yellow"/>
        </w:rPr>
        <w:t>IS INCLUDED</w:t>
      </w:r>
      <w:r w:rsidR="00A90258">
        <w:rPr>
          <w:i/>
          <w:vanish/>
          <w:highlight w:val="yellow"/>
        </w:rPr>
        <w:t>.</w:t>
      </w:r>
    </w:p>
    <w:p w:rsidR="007135F3" w:rsidRDefault="007135F3" w:rsidP="002A13AE">
      <w:pPr>
        <w:rPr>
          <w:i/>
          <w:vanish/>
          <w:highlight w:val="yellow"/>
        </w:rPr>
      </w:pPr>
    </w:p>
    <w:p w:rsidR="00A90258" w:rsidRDefault="00C45E7C" w:rsidP="005A7A23">
      <w:pPr>
        <w:numPr>
          <w:ilvl w:val="0"/>
          <w:numId w:val="8"/>
        </w:numPr>
        <w:ind w:left="360" w:firstLine="0"/>
        <w:rPr>
          <w:i/>
          <w:vanish/>
          <w:highlight w:val="yellow"/>
        </w:rPr>
      </w:pPr>
      <w:r>
        <w:rPr>
          <w:i/>
          <w:vanish/>
          <w:highlight w:val="yellow"/>
        </w:rPr>
        <w:t xml:space="preserve">FOR </w:t>
      </w:r>
      <w:r w:rsidR="007135F3">
        <w:rPr>
          <w:i/>
          <w:vanish/>
          <w:highlight w:val="yellow"/>
        </w:rPr>
        <w:t xml:space="preserve">LARGE </w:t>
      </w:r>
      <w:r w:rsidR="00FC3AC9">
        <w:rPr>
          <w:i/>
          <w:vanish/>
          <w:highlight w:val="yellow"/>
        </w:rPr>
        <w:t>PROJECTS,</w:t>
      </w:r>
      <w:r w:rsidR="00E82D74">
        <w:rPr>
          <w:i/>
          <w:vanish/>
          <w:highlight w:val="yellow"/>
        </w:rPr>
        <w:t xml:space="preserve"> </w:t>
      </w:r>
      <w:r w:rsidR="00287B24">
        <w:rPr>
          <w:i/>
          <w:vanish/>
          <w:highlight w:val="yellow"/>
        </w:rPr>
        <w:t>WH</w:t>
      </w:r>
      <w:r w:rsidR="00A90258">
        <w:rPr>
          <w:i/>
          <w:vanish/>
          <w:highlight w:val="yellow"/>
        </w:rPr>
        <w:t>ICH A</w:t>
      </w:r>
      <w:r w:rsidR="00287B24">
        <w:rPr>
          <w:i/>
          <w:vanish/>
          <w:highlight w:val="yellow"/>
        </w:rPr>
        <w:t>R</w:t>
      </w:r>
      <w:r w:rsidR="00A90258">
        <w:rPr>
          <w:i/>
          <w:vanish/>
          <w:highlight w:val="yellow"/>
        </w:rPr>
        <w:t xml:space="preserve">E </w:t>
      </w:r>
      <w:r w:rsidR="00287B24">
        <w:rPr>
          <w:i/>
          <w:vanish/>
          <w:highlight w:val="yellow"/>
        </w:rPr>
        <w:t>TYPICALLY</w:t>
      </w:r>
      <w:r w:rsidR="00A90258">
        <w:rPr>
          <w:i/>
          <w:vanish/>
          <w:highlight w:val="yellow"/>
        </w:rPr>
        <w:t xml:space="preserve"> DEFINED </w:t>
      </w:r>
      <w:r w:rsidR="003329CD">
        <w:rPr>
          <w:i/>
          <w:vanish/>
          <w:highlight w:val="yellow"/>
        </w:rPr>
        <w:t xml:space="preserve">AS </w:t>
      </w:r>
      <w:r w:rsidR="00A90258">
        <w:rPr>
          <w:i/>
          <w:vanish/>
          <w:highlight w:val="yellow"/>
        </w:rPr>
        <w:t>ONE OR MORE OF THE FOLLOWING:</w:t>
      </w:r>
    </w:p>
    <w:p w:rsidR="008E40A4" w:rsidRPr="003329CD" w:rsidRDefault="000E4E1E" w:rsidP="007361AA">
      <w:pPr>
        <w:numPr>
          <w:ilvl w:val="0"/>
          <w:numId w:val="14"/>
        </w:numPr>
        <w:ind w:left="810" w:firstLine="0"/>
        <w:rPr>
          <w:i/>
          <w:vanish/>
          <w:highlight w:val="yellow"/>
        </w:rPr>
      </w:pPr>
      <w:r>
        <w:rPr>
          <w:i/>
          <w:vanish/>
          <w:highlight w:val="yellow"/>
        </w:rPr>
        <w:t xml:space="preserve"> </w:t>
      </w:r>
      <w:r w:rsidR="008A7E9D">
        <w:rPr>
          <w:i/>
          <w:vanish/>
          <w:highlight w:val="yellow"/>
        </w:rPr>
        <w:t xml:space="preserve">THE </w:t>
      </w:r>
      <w:r w:rsidR="008E559E">
        <w:rPr>
          <w:i/>
          <w:vanish/>
          <w:highlight w:val="yellow"/>
        </w:rPr>
        <w:t>LENGTH OF THE PAVED ROADWAY IS 2</w:t>
      </w:r>
      <w:r w:rsidR="003329CD">
        <w:rPr>
          <w:i/>
          <w:vanish/>
          <w:highlight w:val="yellow"/>
        </w:rPr>
        <w:t xml:space="preserve">-LANE </w:t>
      </w:r>
      <w:r w:rsidR="008E559E">
        <w:rPr>
          <w:i/>
          <w:vanish/>
          <w:highlight w:val="yellow"/>
        </w:rPr>
        <w:t>MILES OR MORE</w:t>
      </w:r>
      <w:r w:rsidR="003329CD">
        <w:rPr>
          <w:i/>
          <w:vanish/>
          <w:highlight w:val="yellow"/>
        </w:rPr>
        <w:t xml:space="preserve"> OF CONTINUOUS ASPHALT CONCRETE PAVEMENT PLACEMENT</w:t>
      </w:r>
      <w:r w:rsidR="008E559E">
        <w:rPr>
          <w:i/>
          <w:vanish/>
          <w:highlight w:val="yellow"/>
        </w:rPr>
        <w:t>;</w:t>
      </w:r>
      <w:r w:rsidR="003329CD">
        <w:rPr>
          <w:i/>
          <w:vanish/>
          <w:highlight w:val="yellow"/>
        </w:rPr>
        <w:t xml:space="preserve"> AND/OR</w:t>
      </w:r>
    </w:p>
    <w:p w:rsidR="00C45E7C" w:rsidRPr="008E40A4" w:rsidRDefault="000E4E1E" w:rsidP="007361AA">
      <w:pPr>
        <w:numPr>
          <w:ilvl w:val="0"/>
          <w:numId w:val="13"/>
        </w:numPr>
        <w:ind w:left="810" w:firstLine="0"/>
        <w:rPr>
          <w:i/>
          <w:vanish/>
          <w:highlight w:val="yellow"/>
        </w:rPr>
      </w:pPr>
      <w:r>
        <w:rPr>
          <w:i/>
          <w:vanish/>
          <w:highlight w:val="yellow"/>
        </w:rPr>
        <w:t xml:space="preserve"> </w:t>
      </w:r>
      <w:r w:rsidR="00133B54">
        <w:rPr>
          <w:i/>
          <w:vanish/>
          <w:highlight w:val="yellow"/>
        </w:rPr>
        <w:t xml:space="preserve">THE </w:t>
      </w:r>
      <w:r w:rsidR="003329CD">
        <w:rPr>
          <w:i/>
          <w:vanish/>
          <w:highlight w:val="yellow"/>
        </w:rPr>
        <w:t xml:space="preserve">AVERAGE DAILY TRAFFIC OF ANY ROAD ON THE </w:t>
      </w:r>
      <w:r w:rsidR="008E559E" w:rsidRPr="008E40A4">
        <w:rPr>
          <w:i/>
          <w:vanish/>
          <w:highlight w:val="yellow"/>
        </w:rPr>
        <w:t>PROJECT</w:t>
      </w:r>
      <w:r w:rsidR="003329CD">
        <w:rPr>
          <w:i/>
          <w:vanish/>
          <w:highlight w:val="yellow"/>
        </w:rPr>
        <w:t xml:space="preserve"> I</w:t>
      </w:r>
      <w:r w:rsidR="008E559E" w:rsidRPr="008E40A4">
        <w:rPr>
          <w:i/>
          <w:vanish/>
          <w:highlight w:val="yellow"/>
        </w:rPr>
        <w:t xml:space="preserve">S </w:t>
      </w:r>
      <w:r w:rsidR="007E2661" w:rsidRPr="008E40A4">
        <w:rPr>
          <w:i/>
          <w:vanish/>
          <w:highlight w:val="yellow"/>
        </w:rPr>
        <w:t xml:space="preserve">GREATER THAN </w:t>
      </w:r>
      <w:r w:rsidR="008E559E" w:rsidRPr="008E40A4">
        <w:rPr>
          <w:i/>
          <w:vanish/>
          <w:highlight w:val="yellow"/>
        </w:rPr>
        <w:t>3000 VEH</w:t>
      </w:r>
      <w:r w:rsidR="007E2661" w:rsidRPr="008E40A4">
        <w:rPr>
          <w:i/>
          <w:vanish/>
          <w:highlight w:val="yellow"/>
        </w:rPr>
        <w:t>/</w:t>
      </w:r>
      <w:r w:rsidR="008E559E" w:rsidRPr="008E40A4">
        <w:rPr>
          <w:i/>
          <w:vanish/>
          <w:highlight w:val="yellow"/>
        </w:rPr>
        <w:t>DAY</w:t>
      </w:r>
      <w:r w:rsidR="00287B24" w:rsidRPr="008E40A4">
        <w:rPr>
          <w:i/>
          <w:vanish/>
          <w:highlight w:val="yellow"/>
        </w:rPr>
        <w:t>)</w:t>
      </w:r>
      <w:r w:rsidR="00FC3AC9" w:rsidRPr="008E40A4">
        <w:rPr>
          <w:i/>
          <w:vanish/>
          <w:highlight w:val="yellow"/>
        </w:rPr>
        <w:t>.</w:t>
      </w:r>
    </w:p>
    <w:p w:rsidR="00C45E7C" w:rsidRDefault="00FC3AC9" w:rsidP="005A7A23">
      <w:pPr>
        <w:ind w:left="360"/>
        <w:rPr>
          <w:i/>
          <w:vanish/>
          <w:highlight w:val="yellow"/>
        </w:rPr>
      </w:pPr>
      <w:r>
        <w:rPr>
          <w:i/>
          <w:vanish/>
          <w:highlight w:val="yellow"/>
        </w:rPr>
        <w:t xml:space="preserve">(THE LARGE PROJECT DEFINITION </w:t>
      </w:r>
      <w:r w:rsidRPr="005A7A23">
        <w:rPr>
          <w:i/>
          <w:vanish/>
          <w:color w:val="FF0000"/>
          <w:highlight w:val="yellow"/>
        </w:rPr>
        <w:t>DOES NOT</w:t>
      </w:r>
      <w:r>
        <w:rPr>
          <w:i/>
          <w:vanish/>
          <w:highlight w:val="yellow"/>
        </w:rPr>
        <w:t xml:space="preserve"> ALLWAYS </w:t>
      </w:r>
      <w:r w:rsidR="00D76BF2">
        <w:rPr>
          <w:i/>
          <w:vanish/>
          <w:highlight w:val="yellow"/>
        </w:rPr>
        <w:t xml:space="preserve">DETERMINE WHETHER OR NOT </w:t>
      </w:r>
      <w:r w:rsidR="007C3EF0">
        <w:rPr>
          <w:i/>
          <w:vanish/>
          <w:highlight w:val="yellow"/>
        </w:rPr>
        <w:t xml:space="preserve">TO INCLUDE </w:t>
      </w:r>
      <w:r>
        <w:rPr>
          <w:i/>
          <w:vanish/>
          <w:highlight w:val="yellow"/>
        </w:rPr>
        <w:t>A 412 PAY ITE</w:t>
      </w:r>
      <w:r w:rsidR="00496C82">
        <w:rPr>
          <w:i/>
          <w:vanish/>
          <w:highlight w:val="yellow"/>
        </w:rPr>
        <w:t>M</w:t>
      </w:r>
      <w:r>
        <w:rPr>
          <w:i/>
          <w:vanish/>
          <w:highlight w:val="yellow"/>
        </w:rPr>
        <w:t>)</w:t>
      </w:r>
    </w:p>
    <w:p w:rsidR="000E4E1E" w:rsidRDefault="000E4E1E" w:rsidP="005A7A23">
      <w:pPr>
        <w:ind w:left="360" w:hanging="360"/>
        <w:rPr>
          <w:i/>
          <w:vanish/>
          <w:highlight w:val="yellow"/>
        </w:rPr>
      </w:pPr>
    </w:p>
    <w:p w:rsidR="00C45E7C" w:rsidRDefault="00C45E7C" w:rsidP="005A7A23">
      <w:pPr>
        <w:numPr>
          <w:ilvl w:val="0"/>
          <w:numId w:val="8"/>
        </w:numPr>
        <w:ind w:left="360" w:firstLine="0"/>
        <w:rPr>
          <w:i/>
          <w:vanish/>
          <w:highlight w:val="yellow"/>
        </w:rPr>
      </w:pPr>
      <w:r>
        <w:rPr>
          <w:i/>
          <w:vanish/>
          <w:highlight w:val="yellow"/>
        </w:rPr>
        <w:t>WHEN RECOMM</w:t>
      </w:r>
      <w:r w:rsidR="00BB0DE0">
        <w:rPr>
          <w:i/>
          <w:vanish/>
          <w:highlight w:val="yellow"/>
        </w:rPr>
        <w:t>E</w:t>
      </w:r>
      <w:r>
        <w:rPr>
          <w:i/>
          <w:vanish/>
          <w:highlight w:val="yellow"/>
        </w:rPr>
        <w:t xml:space="preserve">NDED BY </w:t>
      </w:r>
      <w:r w:rsidR="002A13AE" w:rsidRPr="00495038">
        <w:rPr>
          <w:i/>
          <w:vanish/>
          <w:highlight w:val="yellow"/>
        </w:rPr>
        <w:t>MATERIALS ENGINEER</w:t>
      </w:r>
      <w:r w:rsidR="00932A6E">
        <w:rPr>
          <w:i/>
          <w:vanish/>
          <w:highlight w:val="yellow"/>
        </w:rPr>
        <w:t xml:space="preserve"> (VERIFY WITH MATERIALS ENGINEER</w:t>
      </w:r>
      <w:r w:rsidR="00D910D4">
        <w:rPr>
          <w:i/>
          <w:vanish/>
          <w:highlight w:val="yellow"/>
        </w:rPr>
        <w:t xml:space="preserve"> IF CLAUSE IS APPROPRIATE TO USE</w:t>
      </w:r>
      <w:r w:rsidR="00932A6E">
        <w:rPr>
          <w:i/>
          <w:vanish/>
          <w:highlight w:val="yellow"/>
        </w:rPr>
        <w:t>)</w:t>
      </w:r>
      <w:r w:rsidR="00D910D4">
        <w:rPr>
          <w:i/>
          <w:vanish/>
          <w:highlight w:val="yellow"/>
        </w:rPr>
        <w:t>.</w:t>
      </w:r>
    </w:p>
    <w:p w:rsidR="00C45E7C" w:rsidRDefault="00C45E7C" w:rsidP="002A13AE">
      <w:pPr>
        <w:rPr>
          <w:i/>
          <w:vanish/>
          <w:highlight w:val="yellow"/>
        </w:rPr>
      </w:pPr>
    </w:p>
    <w:p w:rsidR="00804C60" w:rsidRPr="00911564" w:rsidRDefault="00287B24" w:rsidP="002A13AE">
      <w:pPr>
        <w:rPr>
          <w:i/>
          <w:vanish/>
          <w:highlight w:val="yellow"/>
        </w:rPr>
      </w:pPr>
      <w:r>
        <w:rPr>
          <w:i/>
          <w:vanish/>
          <w:highlight w:val="yellow"/>
        </w:rPr>
        <w:t>(</w:t>
      </w:r>
      <w:r w:rsidR="00804C60">
        <w:rPr>
          <w:i/>
          <w:vanish/>
          <w:highlight w:val="yellow"/>
        </w:rPr>
        <w:t>IF CLAUSE $$412.07</w:t>
      </w:r>
      <w:r w:rsidR="007624E7">
        <w:rPr>
          <w:i/>
          <w:vanish/>
          <w:highlight w:val="yellow"/>
        </w:rPr>
        <w:t>A</w:t>
      </w:r>
      <w:r w:rsidR="00804C60">
        <w:rPr>
          <w:i/>
          <w:vanish/>
          <w:highlight w:val="yellow"/>
        </w:rPr>
        <w:t xml:space="preserve"> IS U</w:t>
      </w:r>
      <w:r w:rsidR="003A757E">
        <w:rPr>
          <w:i/>
          <w:vanish/>
          <w:highlight w:val="yellow"/>
        </w:rPr>
        <w:t>S</w:t>
      </w:r>
      <w:r w:rsidR="00867DD3">
        <w:rPr>
          <w:i/>
          <w:vanish/>
          <w:highlight w:val="yellow"/>
        </w:rPr>
        <w:t xml:space="preserve">ED, </w:t>
      </w:r>
      <w:r w:rsidR="00AC72CB">
        <w:rPr>
          <w:i/>
          <w:vanish/>
          <w:highlight w:val="yellow"/>
        </w:rPr>
        <w:t>ALSO INCLUDE</w:t>
      </w:r>
      <w:r w:rsidR="00867DD3">
        <w:rPr>
          <w:i/>
          <w:vanish/>
          <w:highlight w:val="yellow"/>
        </w:rPr>
        <w:t xml:space="preserve"> CLAUSE</w:t>
      </w:r>
      <w:r w:rsidR="00B8084A">
        <w:rPr>
          <w:i/>
          <w:vanish/>
          <w:highlight w:val="yellow"/>
        </w:rPr>
        <w:t xml:space="preserve"> $$412.09A</w:t>
      </w:r>
      <w:r>
        <w:rPr>
          <w:i/>
          <w:vanish/>
          <w:highlight w:val="yellow"/>
        </w:rPr>
        <w:t>)</w:t>
      </w:r>
    </w:p>
    <w:p w:rsidR="009730BE" w:rsidRPr="00911564" w:rsidRDefault="002A13AE" w:rsidP="00911564">
      <w:pPr>
        <w:ind w:hanging="720"/>
        <w:rPr>
          <w:vanish/>
        </w:rPr>
      </w:pPr>
      <w:r w:rsidRPr="00495038">
        <w:rPr>
          <w:vanish/>
        </w:rPr>
        <w:t>$$412.0</w:t>
      </w:r>
      <w:r>
        <w:rPr>
          <w:vanish/>
        </w:rPr>
        <w:t>7</w:t>
      </w:r>
      <w:r w:rsidRPr="00495038">
        <w:rPr>
          <w:vanish/>
        </w:rPr>
        <w:t>A</w:t>
      </w:r>
    </w:p>
    <w:p w:rsidR="00F4305D" w:rsidRPr="00911564" w:rsidRDefault="009D1F8F">
      <w:r w:rsidRPr="00911564">
        <w:t>412.07.  Delete the Subsection and substitute the following:</w:t>
      </w:r>
      <w:r w:rsidR="00F4305D" w:rsidRPr="00911564">
        <w:t xml:space="preserve"> </w:t>
      </w:r>
    </w:p>
    <w:p w:rsidR="00F4305D" w:rsidRPr="00911564" w:rsidRDefault="00F4305D"/>
    <w:p w:rsidR="0075445A" w:rsidRDefault="009D1F8F" w:rsidP="00911564">
      <w:r>
        <w:rPr>
          <w:b/>
        </w:rPr>
        <w:t xml:space="preserve">412.07 </w:t>
      </w:r>
      <w:r w:rsidR="00A61966">
        <w:rPr>
          <w:b/>
        </w:rPr>
        <w:t xml:space="preserve"> </w:t>
      </w:r>
      <w:r>
        <w:rPr>
          <w:b/>
        </w:rPr>
        <w:t xml:space="preserve">Acceptance. </w:t>
      </w:r>
      <w:r w:rsidR="00AC72CB">
        <w:rPr>
          <w:b/>
        </w:rPr>
        <w:t xml:space="preserve"> </w:t>
      </w:r>
      <w:r w:rsidR="00F4305D" w:rsidRPr="00911564">
        <w:t>See Table 412-2 for sampling, testing, and acceptance requirements.</w:t>
      </w:r>
    </w:p>
    <w:p w:rsidR="0075445A" w:rsidRDefault="0075445A" w:rsidP="00911564">
      <w:pPr>
        <w:ind w:left="720" w:hanging="720"/>
      </w:pPr>
    </w:p>
    <w:p w:rsidR="0075445A" w:rsidRDefault="0075445A" w:rsidP="00911564">
      <w:r w:rsidRPr="00911564">
        <w:t>Emulsified asphalt properties will be evaluated under Subsections 106.02 and 106.03.</w:t>
      </w:r>
    </w:p>
    <w:p w:rsidR="0075445A" w:rsidRDefault="0075445A" w:rsidP="00911564"/>
    <w:p w:rsidR="0075445A" w:rsidRDefault="0075445A" w:rsidP="00911564">
      <w:r w:rsidRPr="00911564">
        <w:t>Construction of the tack coat will be evaluated under Subsections 106.02 and 106.04.</w:t>
      </w:r>
    </w:p>
    <w:p w:rsidR="00F4305D" w:rsidRPr="00AC0C32" w:rsidRDefault="00F4305D" w:rsidP="00911564">
      <w:pPr>
        <w:ind w:left="720" w:hanging="720"/>
      </w:pPr>
    </w:p>
    <w:p w:rsidR="00F4305D" w:rsidRPr="00911564" w:rsidRDefault="00F4305D" w:rsidP="00911564">
      <w:r w:rsidRPr="00911564">
        <w:t>Test distributor for residual application rate and frequency in accordance</w:t>
      </w:r>
      <w:r w:rsidR="001A5DEE" w:rsidRPr="00AC0C32">
        <w:t xml:space="preserve"> with</w:t>
      </w:r>
      <w:r w:rsidRPr="00911564">
        <w:t xml:space="preserve"> Table 412-2</w:t>
      </w:r>
      <w:r w:rsidR="001A5DEE" w:rsidRPr="00AC0C32">
        <w:t xml:space="preserve">, ASTM </w:t>
      </w:r>
      <w:r w:rsidR="00AC72CB">
        <w:t>D2995, Option</w:t>
      </w:r>
      <w:r w:rsidRPr="00911564">
        <w:t xml:space="preserve"> A, and the </w:t>
      </w:r>
      <w:r w:rsidR="001A5DEE" w:rsidRPr="00AC0C32">
        <w:t>following</w:t>
      </w:r>
      <w:r w:rsidRPr="00911564">
        <w:t>:</w:t>
      </w:r>
    </w:p>
    <w:p w:rsidR="00F4305D" w:rsidRPr="00911564" w:rsidRDefault="00F4305D" w:rsidP="00911564">
      <w:pPr>
        <w:ind w:left="720" w:hanging="360"/>
      </w:pPr>
    </w:p>
    <w:p w:rsidR="00F4305D" w:rsidRDefault="00F4305D" w:rsidP="00911564">
      <w:pPr>
        <w:numPr>
          <w:ilvl w:val="0"/>
          <w:numId w:val="7"/>
        </w:numPr>
      </w:pPr>
      <w:r w:rsidRPr="00911564">
        <w:t>Record the tare weight of the</w:t>
      </w:r>
      <w:r w:rsidR="001A5DEE" w:rsidRPr="00AC0C32">
        <w:t xml:space="preserve"> nonwoven geotextile materials;</w:t>
      </w:r>
    </w:p>
    <w:p w:rsidR="00711718" w:rsidRPr="00AC0C32" w:rsidRDefault="00711718" w:rsidP="00911564">
      <w:pPr>
        <w:ind w:left="360"/>
      </w:pPr>
    </w:p>
    <w:p w:rsidR="00F4305D" w:rsidRDefault="00F4305D" w:rsidP="00911564">
      <w:pPr>
        <w:numPr>
          <w:ilvl w:val="0"/>
          <w:numId w:val="7"/>
        </w:numPr>
      </w:pPr>
      <w:r w:rsidRPr="00911564">
        <w:t>Place the</w:t>
      </w:r>
      <w:r w:rsidR="001A5DEE" w:rsidRPr="00AC0C32">
        <w:t xml:space="preserve"> </w:t>
      </w:r>
      <w:r w:rsidR="00954465" w:rsidRPr="00AC0C32">
        <w:t xml:space="preserve">nonwoven </w:t>
      </w:r>
      <w:r w:rsidR="001A5DEE" w:rsidRPr="00AC0C32">
        <w:t>geotextile on the road surface;</w:t>
      </w:r>
    </w:p>
    <w:p w:rsidR="00711718" w:rsidRPr="00911564" w:rsidRDefault="00711718" w:rsidP="00911564">
      <w:pPr>
        <w:ind w:left="360"/>
      </w:pPr>
    </w:p>
    <w:p w:rsidR="00F4305D" w:rsidRDefault="00F4305D" w:rsidP="00911564">
      <w:pPr>
        <w:numPr>
          <w:ilvl w:val="0"/>
          <w:numId w:val="7"/>
        </w:numPr>
      </w:pPr>
      <w:r w:rsidRPr="00911564">
        <w:t>Apply th</w:t>
      </w:r>
      <w:r w:rsidR="001A5DEE" w:rsidRPr="00AC0C32">
        <w:t xml:space="preserve">e tack coat over the </w:t>
      </w:r>
      <w:r w:rsidR="00954465" w:rsidRPr="00AC0C32">
        <w:t xml:space="preserve">nonwoven </w:t>
      </w:r>
      <w:r w:rsidR="001A5DEE" w:rsidRPr="00AC0C32">
        <w:t>geotextile;</w:t>
      </w:r>
    </w:p>
    <w:p w:rsidR="00711718" w:rsidRPr="00911564" w:rsidRDefault="00711718" w:rsidP="00911564">
      <w:pPr>
        <w:ind w:left="360"/>
      </w:pPr>
    </w:p>
    <w:p w:rsidR="00F4305D" w:rsidRDefault="00F4305D" w:rsidP="00911564">
      <w:pPr>
        <w:numPr>
          <w:ilvl w:val="0"/>
          <w:numId w:val="7"/>
        </w:numPr>
      </w:pPr>
      <w:r w:rsidRPr="00911564">
        <w:t>Immediately record the weight o</w:t>
      </w:r>
      <w:r w:rsidR="001A5DEE" w:rsidRPr="00AC0C32">
        <w:t xml:space="preserve">f the </w:t>
      </w:r>
      <w:r w:rsidR="00954465" w:rsidRPr="00AC0C32">
        <w:t xml:space="preserve">nonwoven </w:t>
      </w:r>
      <w:r w:rsidR="001A5DEE" w:rsidRPr="00AC0C32">
        <w:t>geotextile with tack coat</w:t>
      </w:r>
      <w:r w:rsidR="00711718">
        <w:t>;</w:t>
      </w:r>
    </w:p>
    <w:p w:rsidR="00711718" w:rsidRPr="00911564" w:rsidRDefault="00711718" w:rsidP="00911564">
      <w:pPr>
        <w:ind w:left="360"/>
      </w:pPr>
    </w:p>
    <w:p w:rsidR="00F4305D" w:rsidRDefault="00F4305D" w:rsidP="00911564">
      <w:pPr>
        <w:numPr>
          <w:ilvl w:val="0"/>
          <w:numId w:val="7"/>
        </w:numPr>
      </w:pPr>
      <w:r w:rsidRPr="00911564">
        <w:t>Record t</w:t>
      </w:r>
      <w:r w:rsidR="001A5DEE" w:rsidRPr="00AC0C32">
        <w:t>he temperature of the tack coat;</w:t>
      </w:r>
    </w:p>
    <w:p w:rsidR="00711718" w:rsidRPr="00911564" w:rsidRDefault="00711718" w:rsidP="00911564">
      <w:pPr>
        <w:ind w:left="360"/>
      </w:pPr>
    </w:p>
    <w:p w:rsidR="00F4305D" w:rsidRDefault="00F4305D" w:rsidP="00911564">
      <w:pPr>
        <w:numPr>
          <w:ilvl w:val="0"/>
          <w:numId w:val="7"/>
        </w:numPr>
      </w:pPr>
      <w:r w:rsidRPr="00911564">
        <w:t xml:space="preserve">Subtract the tare weight </w:t>
      </w:r>
      <w:r w:rsidR="00954465" w:rsidRPr="00AC0C32">
        <w:t xml:space="preserve">of the </w:t>
      </w:r>
      <w:r w:rsidR="00645393" w:rsidRPr="00AC0C32">
        <w:t xml:space="preserve">nonwoven geotextile </w:t>
      </w:r>
      <w:r w:rsidRPr="00911564">
        <w:t>to de</w:t>
      </w:r>
      <w:r w:rsidR="001A5DEE" w:rsidRPr="00AC0C32">
        <w:t>termine the weight of tack coat;</w:t>
      </w:r>
    </w:p>
    <w:p w:rsidR="00711718" w:rsidRPr="00911564" w:rsidRDefault="00711718" w:rsidP="00911564">
      <w:pPr>
        <w:ind w:left="360"/>
      </w:pPr>
    </w:p>
    <w:p w:rsidR="00F4305D" w:rsidRDefault="00F4305D" w:rsidP="00911564">
      <w:pPr>
        <w:numPr>
          <w:ilvl w:val="0"/>
          <w:numId w:val="7"/>
        </w:numPr>
      </w:pPr>
      <w:r w:rsidRPr="00911564">
        <w:t>Convert the weight of tack coat to application rate</w:t>
      </w:r>
      <w:r w:rsidR="001A5DEE" w:rsidRPr="00AC0C32">
        <w:t xml:space="preserve"> according to ASTM D2995, </w:t>
      </w:r>
      <w:r w:rsidRPr="00911564">
        <w:t>Se</w:t>
      </w:r>
      <w:r w:rsidR="001A5DEE" w:rsidRPr="00AC0C32">
        <w:t xml:space="preserve">ction 8, </w:t>
      </w:r>
      <w:r w:rsidRPr="00911564">
        <w:t>Calculatio</w:t>
      </w:r>
      <w:r w:rsidR="001A5DEE" w:rsidRPr="00AC0C32">
        <w:t>n (Transverse Application Rate);</w:t>
      </w:r>
    </w:p>
    <w:p w:rsidR="00A64632" w:rsidRPr="00911564" w:rsidRDefault="00A64632" w:rsidP="00911564">
      <w:pPr>
        <w:ind w:left="360"/>
      </w:pPr>
    </w:p>
    <w:p w:rsidR="00F4305D" w:rsidRDefault="00F4305D" w:rsidP="00911564">
      <w:pPr>
        <w:numPr>
          <w:ilvl w:val="0"/>
          <w:numId w:val="7"/>
        </w:numPr>
      </w:pPr>
      <w:r w:rsidRPr="00911564">
        <w:t xml:space="preserve">Correct the calculated application rate using temperature correction multiplier </w:t>
      </w:r>
      <w:r w:rsidR="00133FE6">
        <w:t>sh</w:t>
      </w:r>
      <w:r w:rsidRPr="00911564">
        <w:t>o</w:t>
      </w:r>
      <w:r w:rsidR="00133FE6">
        <w:t>w</w:t>
      </w:r>
      <w:r w:rsidRPr="00911564">
        <w:t>n in</w:t>
      </w:r>
      <w:r w:rsidR="00133FE6">
        <w:t xml:space="preserve"> </w:t>
      </w:r>
      <w:r w:rsidR="00133FE6" w:rsidRPr="00AC0C32">
        <w:t>the Asphalt Institute</w:t>
      </w:r>
      <w:r w:rsidR="00133FE6">
        <w:t>,</w:t>
      </w:r>
      <w:r w:rsidRPr="00911564">
        <w:t xml:space="preserve"> </w:t>
      </w:r>
      <w:r w:rsidR="00133FE6" w:rsidRPr="009561C8">
        <w:rPr>
          <w:i/>
        </w:rPr>
        <w:t>A Basic Asphalt Emulsion Manual</w:t>
      </w:r>
      <w:r w:rsidR="00133FE6" w:rsidRPr="00AC72CB">
        <w:t>,</w:t>
      </w:r>
      <w:r w:rsidR="00133FE6">
        <w:t xml:space="preserve"> </w:t>
      </w:r>
      <w:r w:rsidRPr="00911564">
        <w:t>Table B-1</w:t>
      </w:r>
      <w:r w:rsidR="00A05F68" w:rsidRPr="00AC0C32">
        <w:t>; and</w:t>
      </w:r>
    </w:p>
    <w:p w:rsidR="00A64632" w:rsidRPr="00911564" w:rsidRDefault="00A64632" w:rsidP="00911564">
      <w:pPr>
        <w:ind w:left="360"/>
      </w:pPr>
    </w:p>
    <w:p w:rsidR="002A1878" w:rsidRDefault="00F4305D" w:rsidP="00911564">
      <w:pPr>
        <w:numPr>
          <w:ilvl w:val="0"/>
          <w:numId w:val="7"/>
        </w:numPr>
      </w:pPr>
      <w:r w:rsidRPr="00911564">
        <w:t>Determine the tack coat residual application rate using the residual percentages shown</w:t>
      </w:r>
      <w:r w:rsidR="00645393" w:rsidRPr="00AC0C32">
        <w:t xml:space="preserve"> </w:t>
      </w:r>
      <w:r w:rsidR="002A13AE" w:rsidRPr="00AC0C32">
        <w:t xml:space="preserve">in </w:t>
      </w:r>
      <w:r w:rsidR="002F482D" w:rsidRPr="00A23068">
        <w:t>ASTM D2995</w:t>
      </w:r>
      <w:r w:rsidR="002F482D">
        <w:t xml:space="preserve">, </w:t>
      </w:r>
      <w:r w:rsidR="002A13AE" w:rsidRPr="00AC0C32">
        <w:t>Table</w:t>
      </w:r>
      <w:r w:rsidR="002F482D">
        <w:t xml:space="preserve"> 1</w:t>
      </w:r>
      <w:r w:rsidRPr="00911564">
        <w:t>.</w:t>
      </w:r>
    </w:p>
    <w:p w:rsidR="00A64632" w:rsidRDefault="00A64632" w:rsidP="005A7A23"/>
    <w:p w:rsidR="00D11F01" w:rsidRDefault="00E50EC5" w:rsidP="00E50EC5">
      <w:pPr>
        <w:rPr>
          <w:i/>
          <w:vanish/>
          <w:highlight w:val="yellow"/>
        </w:rPr>
      </w:pPr>
      <w:r w:rsidRPr="00495038">
        <w:rPr>
          <w:i/>
          <w:vanish/>
          <w:highlight w:val="yellow"/>
        </w:rPr>
        <w:t xml:space="preserve">INCLUDE </w:t>
      </w:r>
      <w:r w:rsidR="00691679">
        <w:rPr>
          <w:i/>
          <w:vanish/>
          <w:highlight w:val="yellow"/>
        </w:rPr>
        <w:t xml:space="preserve">EITHER </w:t>
      </w:r>
      <w:r>
        <w:rPr>
          <w:i/>
          <w:vanish/>
          <w:highlight w:val="yellow"/>
        </w:rPr>
        <w:t>CLAUSE $$412.08A O</w:t>
      </w:r>
      <w:r w:rsidR="005800A4">
        <w:rPr>
          <w:i/>
          <w:vanish/>
          <w:highlight w:val="yellow"/>
        </w:rPr>
        <w:t>R $$412.08B</w:t>
      </w:r>
      <w:r w:rsidR="0020766B">
        <w:rPr>
          <w:i/>
          <w:vanish/>
          <w:highlight w:val="yellow"/>
        </w:rPr>
        <w:t xml:space="preserve"> BASED ON THE FOLLOWING INSTRU</w:t>
      </w:r>
      <w:r w:rsidR="00133B54">
        <w:rPr>
          <w:i/>
          <w:vanish/>
          <w:highlight w:val="yellow"/>
        </w:rPr>
        <w:t>C</w:t>
      </w:r>
      <w:r w:rsidR="0020766B">
        <w:rPr>
          <w:i/>
          <w:vanish/>
          <w:highlight w:val="yellow"/>
        </w:rPr>
        <w:t>TIONS:</w:t>
      </w:r>
    </w:p>
    <w:p w:rsidR="005800A4" w:rsidRDefault="005800A4" w:rsidP="00E50EC5">
      <w:pPr>
        <w:rPr>
          <w:i/>
          <w:vanish/>
          <w:highlight w:val="yellow"/>
        </w:rPr>
      </w:pPr>
    </w:p>
    <w:p w:rsidR="00E50EC5" w:rsidRDefault="00E50EC5" w:rsidP="005A7A23">
      <w:pPr>
        <w:numPr>
          <w:ilvl w:val="0"/>
          <w:numId w:val="15"/>
        </w:numPr>
        <w:ind w:left="360" w:firstLine="0"/>
        <w:rPr>
          <w:i/>
          <w:vanish/>
          <w:highlight w:val="yellow"/>
        </w:rPr>
      </w:pPr>
      <w:r>
        <w:rPr>
          <w:i/>
          <w:vanish/>
          <w:highlight w:val="yellow"/>
        </w:rPr>
        <w:t xml:space="preserve">INCLUDE </w:t>
      </w:r>
      <w:r w:rsidR="005800A4">
        <w:rPr>
          <w:i/>
          <w:vanish/>
          <w:highlight w:val="yellow"/>
        </w:rPr>
        <w:t xml:space="preserve">CLAUSE $$412.08A </w:t>
      </w:r>
      <w:r>
        <w:rPr>
          <w:i/>
          <w:vanish/>
          <w:highlight w:val="yellow"/>
        </w:rPr>
        <w:t xml:space="preserve">WHEN 412 ASPHALT TACK </w:t>
      </w:r>
      <w:r w:rsidRPr="00495038">
        <w:rPr>
          <w:i/>
          <w:vanish/>
          <w:highlight w:val="yellow"/>
        </w:rPr>
        <w:t xml:space="preserve">COAT </w:t>
      </w:r>
      <w:r>
        <w:rPr>
          <w:i/>
          <w:vanish/>
          <w:highlight w:val="yellow"/>
        </w:rPr>
        <w:t xml:space="preserve">PAY ITEM IS </w:t>
      </w:r>
      <w:r w:rsidRPr="006426A1">
        <w:rPr>
          <w:b/>
          <w:i/>
          <w:vanish/>
          <w:color w:val="FF0000"/>
          <w:highlight w:val="yellow"/>
        </w:rPr>
        <w:t>NOT</w:t>
      </w:r>
      <w:r>
        <w:rPr>
          <w:i/>
          <w:vanish/>
          <w:highlight w:val="yellow"/>
        </w:rPr>
        <w:t xml:space="preserve"> INCLUDED</w:t>
      </w:r>
      <w:r w:rsidR="005800A4">
        <w:rPr>
          <w:i/>
          <w:vanish/>
          <w:highlight w:val="yellow"/>
        </w:rPr>
        <w:t xml:space="preserve"> (</w:t>
      </w:r>
      <w:r>
        <w:rPr>
          <w:i/>
          <w:vanish/>
          <w:highlight w:val="yellow"/>
        </w:rPr>
        <w:t xml:space="preserve">IF CLAUSE $$412.08A IS USED, DO </w:t>
      </w:r>
      <w:r w:rsidR="00B8084A">
        <w:rPr>
          <w:i/>
          <w:vanish/>
          <w:highlight w:val="yellow"/>
        </w:rPr>
        <w:t xml:space="preserve">NOT INCLUDE CLAUSE </w:t>
      </w:r>
      <w:r>
        <w:rPr>
          <w:i/>
          <w:vanish/>
          <w:highlight w:val="yellow"/>
        </w:rPr>
        <w:t>$$412.08B)</w:t>
      </w:r>
    </w:p>
    <w:p w:rsidR="00D11F01" w:rsidRDefault="00D11F01" w:rsidP="00E50EC5">
      <w:pPr>
        <w:rPr>
          <w:i/>
          <w:vanish/>
          <w:highlight w:val="yellow"/>
        </w:rPr>
      </w:pPr>
    </w:p>
    <w:p w:rsidR="005800A4" w:rsidRDefault="005800A4" w:rsidP="005A7A23">
      <w:pPr>
        <w:numPr>
          <w:ilvl w:val="0"/>
          <w:numId w:val="15"/>
        </w:numPr>
        <w:ind w:left="360" w:firstLine="0"/>
        <w:rPr>
          <w:i/>
          <w:vanish/>
          <w:highlight w:val="yellow"/>
        </w:rPr>
      </w:pPr>
      <w:r>
        <w:rPr>
          <w:i/>
          <w:vanish/>
          <w:highlight w:val="yellow"/>
        </w:rPr>
        <w:t xml:space="preserve">INCLUDE CLAUSE $$412.08B </w:t>
      </w:r>
      <w:r w:rsidR="00CA403A">
        <w:rPr>
          <w:i/>
          <w:vanish/>
          <w:highlight w:val="yellow"/>
        </w:rPr>
        <w:t>WHEN</w:t>
      </w:r>
      <w:r>
        <w:rPr>
          <w:i/>
          <w:vanish/>
          <w:highlight w:val="yellow"/>
        </w:rPr>
        <w:t xml:space="preserve"> 412 ASPHALT TACK </w:t>
      </w:r>
      <w:r w:rsidRPr="00495038">
        <w:rPr>
          <w:i/>
          <w:vanish/>
          <w:highlight w:val="yellow"/>
        </w:rPr>
        <w:t xml:space="preserve">COAT </w:t>
      </w:r>
      <w:r>
        <w:rPr>
          <w:i/>
          <w:vanish/>
          <w:highlight w:val="yellow"/>
        </w:rPr>
        <w:t>PAY ITEM IS INCLUDED (IF CLAUSE $$412.08</w:t>
      </w:r>
      <w:r w:rsidR="00FC3ADE">
        <w:rPr>
          <w:i/>
          <w:vanish/>
          <w:highlight w:val="yellow"/>
        </w:rPr>
        <w:t>B</w:t>
      </w:r>
      <w:r>
        <w:rPr>
          <w:i/>
          <w:vanish/>
          <w:highlight w:val="yellow"/>
        </w:rPr>
        <w:t xml:space="preserve"> IS USED, DO NOT INCLUDE CLAUSE $$412.08</w:t>
      </w:r>
      <w:r w:rsidR="00FC3ADE">
        <w:rPr>
          <w:i/>
          <w:vanish/>
          <w:highlight w:val="yellow"/>
        </w:rPr>
        <w:t>A</w:t>
      </w:r>
      <w:r>
        <w:rPr>
          <w:i/>
          <w:vanish/>
          <w:highlight w:val="yellow"/>
        </w:rPr>
        <w:t>)</w:t>
      </w:r>
    </w:p>
    <w:p w:rsidR="00E50EC5" w:rsidRPr="00495038" w:rsidRDefault="00E50EC5" w:rsidP="00E50EC5">
      <w:pPr>
        <w:ind w:hanging="720"/>
        <w:rPr>
          <w:vanish/>
        </w:rPr>
      </w:pPr>
      <w:r w:rsidRPr="00495038">
        <w:rPr>
          <w:vanish/>
        </w:rPr>
        <w:t>$$412.0</w:t>
      </w:r>
      <w:r>
        <w:rPr>
          <w:vanish/>
        </w:rPr>
        <w:t>8</w:t>
      </w:r>
      <w:r w:rsidRPr="00495038">
        <w:rPr>
          <w:vanish/>
        </w:rPr>
        <w:t>A</w:t>
      </w:r>
    </w:p>
    <w:p w:rsidR="00E50EC5" w:rsidRDefault="00E50EC5" w:rsidP="00E50EC5">
      <w:r w:rsidRPr="00C65B14">
        <w:t>412.08.</w:t>
      </w:r>
      <w:r>
        <w:t xml:space="preserve">  Delete the second paragraph and substitute the following:</w:t>
      </w:r>
    </w:p>
    <w:p w:rsidR="00E50EC5" w:rsidRDefault="00E50EC5" w:rsidP="00E50EC5"/>
    <w:p w:rsidR="00E50EC5" w:rsidRDefault="00E50EC5" w:rsidP="00E50EC5">
      <w:r>
        <w:t>Do not measure asphalt tack coat for payment.</w:t>
      </w:r>
    </w:p>
    <w:p w:rsidR="00E50EC5" w:rsidRDefault="00E50EC5" w:rsidP="00E50EC5">
      <w:pPr>
        <w:rPr>
          <w:i/>
          <w:highlight w:val="yellow"/>
        </w:rPr>
      </w:pPr>
    </w:p>
    <w:p w:rsidR="00E50EC5" w:rsidRPr="00495038" w:rsidRDefault="00E50EC5" w:rsidP="00E50EC5">
      <w:pPr>
        <w:ind w:hanging="720"/>
        <w:rPr>
          <w:vanish/>
        </w:rPr>
      </w:pPr>
      <w:r w:rsidRPr="00495038">
        <w:rPr>
          <w:vanish/>
        </w:rPr>
        <w:t>$$412.0</w:t>
      </w:r>
      <w:r>
        <w:rPr>
          <w:vanish/>
        </w:rPr>
        <w:t>8B</w:t>
      </w:r>
    </w:p>
    <w:p w:rsidR="00E50EC5" w:rsidRPr="006426A1" w:rsidRDefault="00E50EC5" w:rsidP="00E50EC5">
      <w:r>
        <w:t>412.08</w:t>
      </w:r>
      <w:r w:rsidRPr="006426A1">
        <w:t>.  Add the following</w:t>
      </w:r>
      <w:r>
        <w:t xml:space="preserve"> to the second paragraph</w:t>
      </w:r>
      <w:r w:rsidRPr="006426A1">
        <w:t>:</w:t>
      </w:r>
    </w:p>
    <w:p w:rsidR="00E50EC5" w:rsidRPr="006426A1" w:rsidRDefault="00E50EC5" w:rsidP="00E50EC5"/>
    <w:p w:rsidR="00E50EC5" w:rsidRPr="00AC0C32" w:rsidRDefault="00E50EC5" w:rsidP="00E50EC5">
      <w:r>
        <w:t>M</w:t>
      </w:r>
      <w:r w:rsidRPr="006426A1">
        <w:t xml:space="preserve">aterial quantities </w:t>
      </w:r>
      <w:r>
        <w:t xml:space="preserve">placed in excess of </w:t>
      </w:r>
      <w:r w:rsidRPr="006426A1">
        <w:t>the application rates indicated in Table 412-1</w:t>
      </w:r>
      <w:r>
        <w:t xml:space="preserve"> will not be measured for payment</w:t>
      </w:r>
      <w:r w:rsidRPr="006426A1">
        <w:t>.</w:t>
      </w:r>
    </w:p>
    <w:p w:rsidR="00E50EC5" w:rsidRPr="00954465" w:rsidRDefault="00E50EC5" w:rsidP="00E50EC5"/>
    <w:p w:rsidR="00E50EC5" w:rsidRDefault="00E50EC5">
      <w:pPr>
        <w:sectPr w:rsidR="00E50EC5" w:rsidSect="00DA6292">
          <w:headerReference w:type="default" r:id="rId8"/>
          <w:footnotePr>
            <w:numRestart w:val="eachSect"/>
          </w:footnotePr>
          <w:endnotePr>
            <w:numFmt w:val="decimal"/>
          </w:endnotePr>
          <w:pgSz w:w="12240" w:h="15840" w:code="1"/>
          <w:pgMar w:top="1440" w:right="1440" w:bottom="1440" w:left="1440" w:header="720" w:footer="720" w:gutter="0"/>
          <w:cols w:space="720"/>
          <w:docGrid w:linePitch="326"/>
        </w:sectPr>
      </w:pPr>
    </w:p>
    <w:p w:rsidR="002A1878" w:rsidRPr="00911564" w:rsidRDefault="002A1878" w:rsidP="00911564">
      <w:pPr>
        <w:ind w:left="720" w:hanging="720"/>
        <w:rPr>
          <w:i/>
          <w:vanish/>
          <w:highlight w:val="yellow"/>
        </w:rPr>
      </w:pPr>
      <w:r>
        <w:rPr>
          <w:i/>
          <w:vanish/>
          <w:highlight w:val="yellow"/>
        </w:rPr>
        <w:lastRenderedPageBreak/>
        <w:t>SEE INSTRUCTION</w:t>
      </w:r>
      <w:r w:rsidR="00B8084A">
        <w:rPr>
          <w:i/>
          <w:vanish/>
          <w:highlight w:val="yellow"/>
        </w:rPr>
        <w:t>S</w:t>
      </w:r>
      <w:r>
        <w:rPr>
          <w:i/>
          <w:vanish/>
          <w:highlight w:val="yellow"/>
        </w:rPr>
        <w:t xml:space="preserve"> FOR CLAUSE $$412.07A. </w:t>
      </w:r>
      <w:r w:rsidR="00A6562F">
        <w:rPr>
          <w:i/>
          <w:vanish/>
          <w:highlight w:val="yellow"/>
        </w:rPr>
        <w:t xml:space="preserve"> </w:t>
      </w:r>
      <w:r w:rsidRPr="00495038">
        <w:rPr>
          <w:i/>
          <w:vanish/>
          <w:highlight w:val="yellow"/>
        </w:rPr>
        <w:t xml:space="preserve">INCLUDE </w:t>
      </w:r>
      <w:r w:rsidR="00B8084A">
        <w:rPr>
          <w:i/>
          <w:vanish/>
          <w:highlight w:val="yellow"/>
        </w:rPr>
        <w:t>CLAUSE $$412.09A</w:t>
      </w:r>
      <w:r>
        <w:rPr>
          <w:i/>
          <w:vanish/>
          <w:highlight w:val="yellow"/>
        </w:rPr>
        <w:t xml:space="preserve"> WHEN CLAUSE </w:t>
      </w:r>
      <w:r w:rsidR="007B18B0">
        <w:rPr>
          <w:i/>
          <w:vanish/>
          <w:highlight w:val="yellow"/>
        </w:rPr>
        <w:t>$$</w:t>
      </w:r>
      <w:r>
        <w:rPr>
          <w:i/>
          <w:vanish/>
          <w:highlight w:val="yellow"/>
        </w:rPr>
        <w:t>412.07A IS INCLUDED</w:t>
      </w:r>
    </w:p>
    <w:p w:rsidR="002A1878" w:rsidRPr="006426A1" w:rsidRDefault="002A1878" w:rsidP="002A1878">
      <w:pPr>
        <w:ind w:hanging="720"/>
        <w:rPr>
          <w:vanish/>
        </w:rPr>
      </w:pPr>
      <w:r w:rsidRPr="005A7A23">
        <w:rPr>
          <w:vanish/>
        </w:rPr>
        <w:t>$$412.0</w:t>
      </w:r>
      <w:r w:rsidR="00B8084A" w:rsidRPr="005A7A23">
        <w:rPr>
          <w:vanish/>
        </w:rPr>
        <w:t>9</w:t>
      </w:r>
      <w:r w:rsidR="00B8084A" w:rsidRPr="007B18B0">
        <w:rPr>
          <w:vanish/>
        </w:rPr>
        <w:t>A</w:t>
      </w:r>
    </w:p>
    <w:tbl>
      <w:tblPr>
        <w:tblpPr w:leftFromText="180" w:rightFromText="180" w:vertAnchor="text" w:horzAnchor="margin" w:tblpXSpec="center" w:tblpY="86"/>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327"/>
        <w:gridCol w:w="1296"/>
        <w:gridCol w:w="1517"/>
        <w:gridCol w:w="1105"/>
        <w:gridCol w:w="1440"/>
        <w:gridCol w:w="1170"/>
        <w:gridCol w:w="1145"/>
        <w:gridCol w:w="900"/>
        <w:gridCol w:w="1350"/>
        <w:gridCol w:w="1260"/>
      </w:tblGrid>
      <w:tr w:rsidR="00B8084A" w:rsidRPr="003A33E2" w:rsidTr="005A7A23">
        <w:trPr>
          <w:trHeight w:val="361"/>
        </w:trPr>
        <w:tc>
          <w:tcPr>
            <w:tcW w:w="12510" w:type="dxa"/>
            <w:gridSpan w:val="10"/>
            <w:tcBorders>
              <w:top w:val="nil"/>
              <w:left w:val="nil"/>
              <w:bottom w:val="single" w:sz="4" w:space="0" w:color="auto"/>
              <w:right w:val="nil"/>
            </w:tcBorders>
            <w:shd w:val="clear" w:color="auto" w:fill="auto"/>
            <w:vAlign w:val="center"/>
          </w:tcPr>
          <w:p w:rsidR="00B8084A" w:rsidRPr="00307F4F" w:rsidRDefault="00B8084A" w:rsidP="00B8084A">
            <w:pPr>
              <w:pStyle w:val="PlainText"/>
              <w:jc w:val="center"/>
              <w:rPr>
                <w:rFonts w:ascii="Times New Roman" w:eastAsia="MS Mincho" w:hAnsi="Times New Roman"/>
                <w:b/>
                <w:bCs/>
                <w:sz w:val="24"/>
                <w:szCs w:val="24"/>
              </w:rPr>
            </w:pPr>
            <w:r w:rsidRPr="00307F4F">
              <w:rPr>
                <w:rFonts w:ascii="Times New Roman" w:eastAsia="MS Mincho" w:hAnsi="Times New Roman"/>
                <w:b/>
                <w:bCs/>
                <w:sz w:val="24"/>
                <w:szCs w:val="24"/>
              </w:rPr>
              <w:t>Table 412-2</w:t>
            </w:r>
          </w:p>
          <w:p w:rsidR="00B8084A" w:rsidRPr="00307F4F" w:rsidRDefault="00B8084A" w:rsidP="00B8084A">
            <w:pPr>
              <w:pStyle w:val="PlainText"/>
              <w:jc w:val="center"/>
              <w:rPr>
                <w:rFonts w:ascii="Times New Roman" w:eastAsia="MS Mincho" w:hAnsi="Times New Roman"/>
                <w:b/>
              </w:rPr>
            </w:pPr>
            <w:r w:rsidRPr="00307F4F">
              <w:rPr>
                <w:rFonts w:ascii="Times New Roman" w:hAnsi="Times New Roman"/>
                <w:b/>
                <w:bCs/>
                <w:sz w:val="24"/>
                <w:szCs w:val="24"/>
              </w:rPr>
              <w:t>Sampling, Testing, and Acceptance Requirements</w:t>
            </w:r>
          </w:p>
        </w:tc>
      </w:tr>
      <w:tr w:rsidR="00B8084A" w:rsidRPr="003A33E2" w:rsidTr="005A7A23">
        <w:trPr>
          <w:trHeight w:val="361"/>
        </w:trPr>
        <w:tc>
          <w:tcPr>
            <w:tcW w:w="1327"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Material or</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Product</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296"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Type of</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Acceptance</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517"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Characteristic</w:t>
            </w:r>
          </w:p>
        </w:tc>
        <w:tc>
          <w:tcPr>
            <w:tcW w:w="1105"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Category</w:t>
            </w:r>
          </w:p>
        </w:tc>
        <w:tc>
          <w:tcPr>
            <w:tcW w:w="1440"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Test Methods</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Specifications</w:t>
            </w:r>
          </w:p>
        </w:tc>
        <w:tc>
          <w:tcPr>
            <w:tcW w:w="1170"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Sampling</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Frequency</w:t>
            </w:r>
          </w:p>
        </w:tc>
        <w:tc>
          <w:tcPr>
            <w:tcW w:w="1145"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Point of</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Sampling</w:t>
            </w:r>
          </w:p>
        </w:tc>
        <w:tc>
          <w:tcPr>
            <w:tcW w:w="900"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Split</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Sample</w:t>
            </w:r>
          </w:p>
        </w:tc>
        <w:tc>
          <w:tcPr>
            <w:tcW w:w="1350"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Reporting</w:t>
            </w:r>
          </w:p>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Time</w:t>
            </w:r>
          </w:p>
        </w:tc>
        <w:tc>
          <w:tcPr>
            <w:tcW w:w="1260" w:type="dxa"/>
            <w:tcBorders>
              <w:bottom w:val="single" w:sz="4" w:space="0" w:color="auto"/>
            </w:tcBorders>
            <w:shd w:val="clear" w:color="auto" w:fill="auto"/>
          </w:tcPr>
          <w:p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Remarks</w:t>
            </w:r>
          </w:p>
        </w:tc>
      </w:tr>
      <w:tr w:rsidR="00B8084A" w:rsidRPr="003A33E2" w:rsidTr="005A7A23">
        <w:trPr>
          <w:trHeight w:val="222"/>
        </w:trPr>
        <w:tc>
          <w:tcPr>
            <w:tcW w:w="12510" w:type="dxa"/>
            <w:gridSpan w:val="10"/>
            <w:tcBorders>
              <w:bottom w:val="single" w:sz="4" w:space="0" w:color="auto"/>
            </w:tcBorders>
            <w:shd w:val="clear" w:color="auto" w:fill="auto"/>
            <w:vAlign w:val="center"/>
          </w:tcPr>
          <w:p w:rsidR="00B8084A" w:rsidRPr="00307F4F" w:rsidRDefault="00B8084A" w:rsidP="00B8084A">
            <w:pPr>
              <w:pStyle w:val="PlainText"/>
              <w:jc w:val="center"/>
              <w:rPr>
                <w:rFonts w:ascii="Times New Roman" w:eastAsia="MS Mincho" w:hAnsi="Times New Roman"/>
                <w:b/>
              </w:rPr>
            </w:pPr>
            <w:r w:rsidRPr="00307F4F">
              <w:rPr>
                <w:rFonts w:ascii="Times New Roman" w:eastAsia="MS Mincho" w:hAnsi="Times New Roman"/>
                <w:b/>
              </w:rPr>
              <w:t>Production</w:t>
            </w:r>
          </w:p>
        </w:tc>
      </w:tr>
      <w:tr w:rsidR="00B8084A" w:rsidRPr="003A33E2" w:rsidTr="005A7A23">
        <w:trPr>
          <w:trHeight w:val="361"/>
        </w:trPr>
        <w:tc>
          <w:tcPr>
            <w:tcW w:w="1327" w:type="dxa"/>
            <w:tcBorders>
              <w:top w:val="single" w:sz="4" w:space="0" w:color="auto"/>
            </w:tcBorders>
          </w:tcPr>
          <w:p w:rsidR="00B8084A" w:rsidRPr="00307F4F" w:rsidRDefault="00B8084A" w:rsidP="00B8084A">
            <w:pPr>
              <w:pStyle w:val="table7text"/>
              <w:rPr>
                <w:sz w:val="20"/>
              </w:rPr>
            </w:pPr>
            <w:r w:rsidRPr="00307F4F">
              <w:rPr>
                <w:sz w:val="20"/>
              </w:rPr>
              <w:t>Emulsified</w:t>
            </w:r>
          </w:p>
          <w:p w:rsidR="00B8084A" w:rsidRPr="00307F4F" w:rsidRDefault="00B8084A" w:rsidP="00B8084A">
            <w:pPr>
              <w:pStyle w:val="table7text"/>
              <w:rPr>
                <w:sz w:val="20"/>
              </w:rPr>
            </w:pPr>
            <w:r w:rsidRPr="00307F4F">
              <w:rPr>
                <w:sz w:val="20"/>
              </w:rPr>
              <w:t xml:space="preserve">asphalt </w:t>
            </w:r>
          </w:p>
          <w:p w:rsidR="00B8084A" w:rsidRPr="00307F4F" w:rsidRDefault="00B8084A" w:rsidP="00B8084A">
            <w:pPr>
              <w:pStyle w:val="table7text"/>
              <w:rPr>
                <w:sz w:val="20"/>
              </w:rPr>
            </w:pPr>
            <w:r w:rsidRPr="00307F4F">
              <w:rPr>
                <w:sz w:val="20"/>
              </w:rPr>
              <w:t>or</w:t>
            </w:r>
          </w:p>
          <w:p w:rsidR="00B8084A" w:rsidRPr="00307F4F" w:rsidRDefault="00B8084A" w:rsidP="00B8084A">
            <w:pPr>
              <w:pStyle w:val="table7text"/>
              <w:rPr>
                <w:sz w:val="20"/>
              </w:rPr>
            </w:pPr>
            <w:r w:rsidRPr="00307F4F">
              <w:rPr>
                <w:sz w:val="20"/>
              </w:rPr>
              <w:t>asphalt</w:t>
            </w:r>
          </w:p>
          <w:p w:rsidR="00B8084A" w:rsidRPr="00307F4F" w:rsidRDefault="00B8084A" w:rsidP="00B8084A">
            <w:pPr>
              <w:pStyle w:val="table7text"/>
              <w:rPr>
                <w:sz w:val="20"/>
              </w:rPr>
            </w:pPr>
            <w:r w:rsidRPr="00307F4F">
              <w:rPr>
                <w:sz w:val="20"/>
              </w:rPr>
              <w:t>binder</w:t>
            </w:r>
          </w:p>
        </w:tc>
        <w:tc>
          <w:tcPr>
            <w:tcW w:w="1296" w:type="dxa"/>
            <w:tcBorders>
              <w:top w:val="single" w:sz="4" w:space="0" w:color="auto"/>
              <w:bottom w:val="single" w:sz="4" w:space="0" w:color="auto"/>
            </w:tcBorders>
          </w:tcPr>
          <w:p w:rsidR="00B8084A" w:rsidRPr="00307F4F" w:rsidRDefault="00B8084A" w:rsidP="00B8084A">
            <w:pPr>
              <w:pStyle w:val="table7text"/>
              <w:rPr>
                <w:sz w:val="20"/>
              </w:rPr>
            </w:pPr>
            <w:r w:rsidRPr="00307F4F">
              <w:rPr>
                <w:sz w:val="20"/>
              </w:rPr>
              <w:t>Measured and</w:t>
            </w:r>
          </w:p>
          <w:p w:rsidR="00B8084A" w:rsidRPr="00307F4F" w:rsidRDefault="00B8084A" w:rsidP="00B8084A">
            <w:pPr>
              <w:pStyle w:val="table7text"/>
              <w:rPr>
                <w:sz w:val="20"/>
              </w:rPr>
            </w:pPr>
            <w:r w:rsidRPr="00307F4F">
              <w:rPr>
                <w:sz w:val="20"/>
              </w:rPr>
              <w:t>tested for</w:t>
            </w:r>
          </w:p>
          <w:p w:rsidR="00B8084A" w:rsidRPr="00307F4F" w:rsidRDefault="00B8084A" w:rsidP="00B8084A">
            <w:pPr>
              <w:pStyle w:val="table7text"/>
              <w:rPr>
                <w:sz w:val="20"/>
              </w:rPr>
            </w:pPr>
            <w:r w:rsidRPr="00307F4F">
              <w:rPr>
                <w:sz w:val="20"/>
              </w:rPr>
              <w:t>conformance</w:t>
            </w:r>
          </w:p>
          <w:p w:rsidR="00B8084A" w:rsidRPr="00307F4F" w:rsidRDefault="00B8084A" w:rsidP="00B8084A">
            <w:pPr>
              <w:pStyle w:val="PlainText"/>
              <w:jc w:val="center"/>
              <w:rPr>
                <w:rFonts w:ascii="Times New Roman" w:eastAsia="MS Mincho" w:hAnsi="Times New Roman"/>
              </w:rPr>
            </w:pPr>
            <w:r w:rsidRPr="00307F4F">
              <w:rPr>
                <w:rFonts w:ascii="Times New Roman" w:hAnsi="Times New Roman"/>
              </w:rPr>
              <w:t>(106.04)</w:t>
            </w:r>
          </w:p>
        </w:tc>
        <w:tc>
          <w:tcPr>
            <w:tcW w:w="1517" w:type="dxa"/>
            <w:tcBorders>
              <w:top w:val="single" w:sz="4" w:space="0" w:color="auto"/>
              <w:bottom w:val="single" w:sz="4" w:space="0" w:color="auto"/>
            </w:tcBorders>
          </w:tcPr>
          <w:p w:rsidR="00B8084A" w:rsidRPr="00307F4F" w:rsidRDefault="006B257A" w:rsidP="00B8084A">
            <w:pPr>
              <w:pStyle w:val="PlainText"/>
              <w:jc w:val="center"/>
              <w:rPr>
                <w:rFonts w:ascii="Times New Roman" w:eastAsia="MS Mincho" w:hAnsi="Times New Roman"/>
              </w:rPr>
            </w:pPr>
            <w:r w:rsidRPr="005A7A23">
              <w:rPr>
                <w:rFonts w:ascii="Times New Roman" w:hAnsi="Times New Roman" w:cs="Times New Roman"/>
              </w:rPr>
              <w:t>Quality</w:t>
            </w:r>
          </w:p>
        </w:tc>
        <w:tc>
          <w:tcPr>
            <w:tcW w:w="1105" w:type="dxa"/>
            <w:tcBorders>
              <w:top w:val="single" w:sz="4" w:space="0" w:color="auto"/>
              <w:bottom w:val="single" w:sz="4" w:space="0" w:color="auto"/>
            </w:tcBorders>
          </w:tcPr>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w:t>
            </w:r>
          </w:p>
        </w:tc>
        <w:tc>
          <w:tcPr>
            <w:tcW w:w="1440" w:type="dxa"/>
            <w:tcBorders>
              <w:top w:val="single" w:sz="4" w:space="0" w:color="auto"/>
              <w:bottom w:val="single" w:sz="4" w:space="0" w:color="auto"/>
            </w:tcBorders>
          </w:tcPr>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ASTM D2995, Option A</w:t>
            </w:r>
          </w:p>
        </w:tc>
        <w:tc>
          <w:tcPr>
            <w:tcW w:w="1170" w:type="dxa"/>
            <w:tcBorders>
              <w:top w:val="single" w:sz="4" w:space="0" w:color="auto"/>
              <w:bottom w:val="single" w:sz="4" w:space="0" w:color="auto"/>
            </w:tcBorders>
          </w:tcPr>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1 at start of work</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 xml:space="preserve">&amp; </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1 per</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2500 linear feet</w:t>
            </w:r>
          </w:p>
        </w:tc>
        <w:tc>
          <w:tcPr>
            <w:tcW w:w="1145" w:type="dxa"/>
            <w:tcBorders>
              <w:top w:val="single" w:sz="4" w:space="0" w:color="auto"/>
              <w:bottom w:val="single" w:sz="4" w:space="0" w:color="auto"/>
            </w:tcBorders>
          </w:tcPr>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Behind distributor before material “breaks” and before paving</w:t>
            </w:r>
          </w:p>
        </w:tc>
        <w:tc>
          <w:tcPr>
            <w:tcW w:w="900" w:type="dxa"/>
            <w:tcBorders>
              <w:top w:val="single" w:sz="4" w:space="0" w:color="auto"/>
              <w:bottom w:val="single" w:sz="4" w:space="0" w:color="auto"/>
            </w:tcBorders>
          </w:tcPr>
          <w:p w:rsidR="00B8084A" w:rsidRPr="00307F4F" w:rsidRDefault="00B8084A" w:rsidP="00B8084A">
            <w:pPr>
              <w:jc w:val="center"/>
              <w:rPr>
                <w:rFonts w:eastAsia="MS Mincho"/>
              </w:rPr>
            </w:pPr>
            <w:r w:rsidRPr="00307F4F">
              <w:rPr>
                <w:sz w:val="20"/>
              </w:rPr>
              <w:t>No</w:t>
            </w:r>
          </w:p>
        </w:tc>
        <w:tc>
          <w:tcPr>
            <w:tcW w:w="1350" w:type="dxa"/>
            <w:tcBorders>
              <w:top w:val="single" w:sz="4" w:space="0" w:color="auto"/>
              <w:bottom w:val="single" w:sz="4" w:space="0" w:color="auto"/>
            </w:tcBorders>
          </w:tcPr>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Upon</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completion</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of</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measurement</w:t>
            </w:r>
          </w:p>
        </w:tc>
        <w:tc>
          <w:tcPr>
            <w:tcW w:w="1260" w:type="dxa"/>
            <w:tcBorders>
              <w:top w:val="single" w:sz="4" w:space="0" w:color="auto"/>
              <w:bottom w:val="single" w:sz="4" w:space="0" w:color="auto"/>
            </w:tcBorders>
          </w:tcPr>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Tested by</w:t>
            </w:r>
          </w:p>
          <w:p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Government</w:t>
            </w:r>
          </w:p>
        </w:tc>
      </w:tr>
    </w:tbl>
    <w:p w:rsidR="00C861AE" w:rsidRDefault="00C861AE" w:rsidP="00911564">
      <w:pPr>
        <w:tabs>
          <w:tab w:val="left" w:pos="2184"/>
        </w:tabs>
      </w:pPr>
    </w:p>
    <w:p w:rsidR="0020766B" w:rsidRPr="00E50EC5" w:rsidRDefault="0020766B" w:rsidP="00911564">
      <w:pPr>
        <w:tabs>
          <w:tab w:val="left" w:pos="2184"/>
        </w:tabs>
      </w:pPr>
    </w:p>
    <w:sectPr w:rsidR="0020766B" w:rsidRPr="00E50EC5" w:rsidSect="00911564">
      <w:footnotePr>
        <w:numRestart w:val="eachSect"/>
      </w:footnotePr>
      <w:endnotePr>
        <w:numFmt w:val="decimal"/>
      </w:endnotePr>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FA" w:rsidRDefault="002D16FA">
      <w:r>
        <w:separator/>
      </w:r>
    </w:p>
  </w:endnote>
  <w:endnote w:type="continuationSeparator" w:id="0">
    <w:p w:rsidR="002D16FA" w:rsidRDefault="002D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FA" w:rsidRDefault="002D16FA">
      <w:r>
        <w:separator/>
      </w:r>
    </w:p>
  </w:footnote>
  <w:footnote w:type="continuationSeparator" w:id="0">
    <w:p w:rsidR="002D16FA" w:rsidRDefault="002D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BB" w:rsidRPr="003931D1" w:rsidRDefault="007078BB" w:rsidP="003931D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78D"/>
    <w:multiLevelType w:val="hybridMultilevel"/>
    <w:tmpl w:val="9476DAF4"/>
    <w:lvl w:ilvl="0" w:tplc="2EFCD45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57E"/>
    <w:multiLevelType w:val="hybridMultilevel"/>
    <w:tmpl w:val="B600931E"/>
    <w:lvl w:ilvl="0" w:tplc="699E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AB9"/>
    <w:multiLevelType w:val="multilevel"/>
    <w:tmpl w:val="AD0E86C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245D3DDB"/>
    <w:multiLevelType w:val="hybridMultilevel"/>
    <w:tmpl w:val="C53AB612"/>
    <w:lvl w:ilvl="0" w:tplc="2EFCD45A">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A4896"/>
    <w:multiLevelType w:val="hybridMultilevel"/>
    <w:tmpl w:val="174055C6"/>
    <w:lvl w:ilvl="0" w:tplc="2EFCD45A">
      <w:start w:val="1"/>
      <w:numFmt w:val="lowerLetter"/>
      <w:suff w:val="space"/>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646A7"/>
    <w:multiLevelType w:val="hybridMultilevel"/>
    <w:tmpl w:val="AD0E86C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83949A5"/>
    <w:multiLevelType w:val="hybridMultilevel"/>
    <w:tmpl w:val="39109D34"/>
    <w:lvl w:ilvl="0" w:tplc="2EFCD45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178"/>
    <w:multiLevelType w:val="hybridMultilevel"/>
    <w:tmpl w:val="6B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22D3"/>
    <w:multiLevelType w:val="hybridMultilevel"/>
    <w:tmpl w:val="4C1ADE26"/>
    <w:lvl w:ilvl="0" w:tplc="7FF42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343BB"/>
    <w:multiLevelType w:val="hybridMultilevel"/>
    <w:tmpl w:val="3AAEB604"/>
    <w:lvl w:ilvl="0" w:tplc="615EC44A">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2CD7CC8"/>
    <w:multiLevelType w:val="hybridMultilevel"/>
    <w:tmpl w:val="AD0E86C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3AA4B9C"/>
    <w:multiLevelType w:val="hybridMultilevel"/>
    <w:tmpl w:val="D9B6AB6A"/>
    <w:lvl w:ilvl="0" w:tplc="79DC8D42">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8683ADE"/>
    <w:multiLevelType w:val="hybridMultilevel"/>
    <w:tmpl w:val="4284334C"/>
    <w:lvl w:ilvl="0" w:tplc="4D3EB060">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9B470A7"/>
    <w:multiLevelType w:val="hybridMultilevel"/>
    <w:tmpl w:val="54E09C36"/>
    <w:lvl w:ilvl="0" w:tplc="7FF42D1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EB26037"/>
    <w:multiLevelType w:val="hybridMultilevel"/>
    <w:tmpl w:val="22F225EA"/>
    <w:lvl w:ilvl="0" w:tplc="1E2026F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9"/>
  </w:num>
  <w:num w:numId="6">
    <w:abstractNumId w:val="14"/>
  </w:num>
  <w:num w:numId="7">
    <w:abstractNumId w:val="4"/>
  </w:num>
  <w:num w:numId="8">
    <w:abstractNumId w:val="3"/>
  </w:num>
  <w:num w:numId="9">
    <w:abstractNumId w:val="10"/>
  </w:num>
  <w:num w:numId="10">
    <w:abstractNumId w:val="0"/>
  </w:num>
  <w:num w:numId="11">
    <w:abstractNumId w:val="2"/>
  </w:num>
  <w:num w:numId="12">
    <w:abstractNumId w:val="5"/>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1D1"/>
    <w:rsid w:val="00006C14"/>
    <w:rsid w:val="000139AA"/>
    <w:rsid w:val="00023C85"/>
    <w:rsid w:val="00031364"/>
    <w:rsid w:val="000341DB"/>
    <w:rsid w:val="00046233"/>
    <w:rsid w:val="00063DAE"/>
    <w:rsid w:val="0007740E"/>
    <w:rsid w:val="00077B13"/>
    <w:rsid w:val="00083DE5"/>
    <w:rsid w:val="00094C89"/>
    <w:rsid w:val="00096660"/>
    <w:rsid w:val="000E2F2C"/>
    <w:rsid w:val="000E4E1E"/>
    <w:rsid w:val="000F1087"/>
    <w:rsid w:val="00122EB3"/>
    <w:rsid w:val="00127EE5"/>
    <w:rsid w:val="00133B54"/>
    <w:rsid w:val="00133FE6"/>
    <w:rsid w:val="0014027E"/>
    <w:rsid w:val="00164229"/>
    <w:rsid w:val="001648BD"/>
    <w:rsid w:val="00171EFF"/>
    <w:rsid w:val="001758AD"/>
    <w:rsid w:val="00182EDB"/>
    <w:rsid w:val="00193AEA"/>
    <w:rsid w:val="0019400A"/>
    <w:rsid w:val="001A262C"/>
    <w:rsid w:val="001A5DEE"/>
    <w:rsid w:val="001A6503"/>
    <w:rsid w:val="001B403F"/>
    <w:rsid w:val="001D5299"/>
    <w:rsid w:val="001F6D45"/>
    <w:rsid w:val="001F6E1D"/>
    <w:rsid w:val="0020766B"/>
    <w:rsid w:val="002712D6"/>
    <w:rsid w:val="0027594A"/>
    <w:rsid w:val="00284726"/>
    <w:rsid w:val="00287B24"/>
    <w:rsid w:val="00295467"/>
    <w:rsid w:val="002954A1"/>
    <w:rsid w:val="002A13AE"/>
    <w:rsid w:val="002A1878"/>
    <w:rsid w:val="002B509B"/>
    <w:rsid w:val="002C7CD4"/>
    <w:rsid w:val="002D16FA"/>
    <w:rsid w:val="002F482D"/>
    <w:rsid w:val="00307875"/>
    <w:rsid w:val="0031510A"/>
    <w:rsid w:val="003232D8"/>
    <w:rsid w:val="003329CD"/>
    <w:rsid w:val="00341507"/>
    <w:rsid w:val="00344949"/>
    <w:rsid w:val="0034509B"/>
    <w:rsid w:val="00354022"/>
    <w:rsid w:val="00373443"/>
    <w:rsid w:val="00373DEE"/>
    <w:rsid w:val="003811B3"/>
    <w:rsid w:val="003931D1"/>
    <w:rsid w:val="003971D3"/>
    <w:rsid w:val="003A757E"/>
    <w:rsid w:val="003B3B35"/>
    <w:rsid w:val="003E6AFC"/>
    <w:rsid w:val="00416741"/>
    <w:rsid w:val="004357CA"/>
    <w:rsid w:val="00442D48"/>
    <w:rsid w:val="004570B4"/>
    <w:rsid w:val="0046274E"/>
    <w:rsid w:val="004827F4"/>
    <w:rsid w:val="004921D8"/>
    <w:rsid w:val="00492EA6"/>
    <w:rsid w:val="00495518"/>
    <w:rsid w:val="00496C82"/>
    <w:rsid w:val="00496D68"/>
    <w:rsid w:val="004B487E"/>
    <w:rsid w:val="004C58F9"/>
    <w:rsid w:val="004D1B04"/>
    <w:rsid w:val="004E318F"/>
    <w:rsid w:val="004F34D8"/>
    <w:rsid w:val="005017F0"/>
    <w:rsid w:val="00502230"/>
    <w:rsid w:val="0052327C"/>
    <w:rsid w:val="0053348E"/>
    <w:rsid w:val="00560400"/>
    <w:rsid w:val="00576DA1"/>
    <w:rsid w:val="005800A4"/>
    <w:rsid w:val="005A7A23"/>
    <w:rsid w:val="005B6D44"/>
    <w:rsid w:val="005D79A2"/>
    <w:rsid w:val="005E30B7"/>
    <w:rsid w:val="00621E7C"/>
    <w:rsid w:val="00623BCE"/>
    <w:rsid w:val="00645393"/>
    <w:rsid w:val="006552E4"/>
    <w:rsid w:val="00671539"/>
    <w:rsid w:val="00683F02"/>
    <w:rsid w:val="00691679"/>
    <w:rsid w:val="00697AEA"/>
    <w:rsid w:val="006A4691"/>
    <w:rsid w:val="006B257A"/>
    <w:rsid w:val="006C6A75"/>
    <w:rsid w:val="006D6818"/>
    <w:rsid w:val="007065A8"/>
    <w:rsid w:val="007078BB"/>
    <w:rsid w:val="00711718"/>
    <w:rsid w:val="007135F3"/>
    <w:rsid w:val="00727B10"/>
    <w:rsid w:val="007361AA"/>
    <w:rsid w:val="00737E13"/>
    <w:rsid w:val="0075445A"/>
    <w:rsid w:val="007624E7"/>
    <w:rsid w:val="007750BB"/>
    <w:rsid w:val="007832D2"/>
    <w:rsid w:val="00784C07"/>
    <w:rsid w:val="00784DC8"/>
    <w:rsid w:val="007A0B92"/>
    <w:rsid w:val="007A1B84"/>
    <w:rsid w:val="007A38D8"/>
    <w:rsid w:val="007A6EFE"/>
    <w:rsid w:val="007B18B0"/>
    <w:rsid w:val="007C3EF0"/>
    <w:rsid w:val="007E2661"/>
    <w:rsid w:val="007F1242"/>
    <w:rsid w:val="007F7FD2"/>
    <w:rsid w:val="00803CEF"/>
    <w:rsid w:val="00804C60"/>
    <w:rsid w:val="00806DCF"/>
    <w:rsid w:val="00825F9F"/>
    <w:rsid w:val="00826719"/>
    <w:rsid w:val="00827B24"/>
    <w:rsid w:val="00853098"/>
    <w:rsid w:val="00857E43"/>
    <w:rsid w:val="008664CA"/>
    <w:rsid w:val="00867DD3"/>
    <w:rsid w:val="008910AA"/>
    <w:rsid w:val="008917A6"/>
    <w:rsid w:val="008A117E"/>
    <w:rsid w:val="008A1C6D"/>
    <w:rsid w:val="008A33B2"/>
    <w:rsid w:val="008A7E9D"/>
    <w:rsid w:val="008B1741"/>
    <w:rsid w:val="008D0CDB"/>
    <w:rsid w:val="008D594C"/>
    <w:rsid w:val="008D7546"/>
    <w:rsid w:val="008D763F"/>
    <w:rsid w:val="008E059F"/>
    <w:rsid w:val="008E0E97"/>
    <w:rsid w:val="008E35E6"/>
    <w:rsid w:val="008E40A4"/>
    <w:rsid w:val="008E559E"/>
    <w:rsid w:val="008F120E"/>
    <w:rsid w:val="008F20AB"/>
    <w:rsid w:val="00911564"/>
    <w:rsid w:val="0092097E"/>
    <w:rsid w:val="00922F66"/>
    <w:rsid w:val="0093111D"/>
    <w:rsid w:val="00932A6E"/>
    <w:rsid w:val="00937777"/>
    <w:rsid w:val="0094335E"/>
    <w:rsid w:val="00953003"/>
    <w:rsid w:val="00954465"/>
    <w:rsid w:val="009664F3"/>
    <w:rsid w:val="009730BE"/>
    <w:rsid w:val="00977F6E"/>
    <w:rsid w:val="0098061A"/>
    <w:rsid w:val="00997BE9"/>
    <w:rsid w:val="009A021A"/>
    <w:rsid w:val="009A2480"/>
    <w:rsid w:val="009A4B86"/>
    <w:rsid w:val="009A73AD"/>
    <w:rsid w:val="009B5F84"/>
    <w:rsid w:val="009B72CF"/>
    <w:rsid w:val="009D1F8F"/>
    <w:rsid w:val="009D48B0"/>
    <w:rsid w:val="009D6884"/>
    <w:rsid w:val="009E2A13"/>
    <w:rsid w:val="009E4747"/>
    <w:rsid w:val="009F4F7F"/>
    <w:rsid w:val="009F6AAF"/>
    <w:rsid w:val="00A05F68"/>
    <w:rsid w:val="00A1134B"/>
    <w:rsid w:val="00A61966"/>
    <w:rsid w:val="00A641CA"/>
    <w:rsid w:val="00A64632"/>
    <w:rsid w:val="00A6562F"/>
    <w:rsid w:val="00A8243E"/>
    <w:rsid w:val="00A90258"/>
    <w:rsid w:val="00AA0235"/>
    <w:rsid w:val="00AA3E73"/>
    <w:rsid w:val="00AA773C"/>
    <w:rsid w:val="00AB0FB6"/>
    <w:rsid w:val="00AB35EE"/>
    <w:rsid w:val="00AC0712"/>
    <w:rsid w:val="00AC0C32"/>
    <w:rsid w:val="00AC72CB"/>
    <w:rsid w:val="00AD1DDA"/>
    <w:rsid w:val="00AD3999"/>
    <w:rsid w:val="00AD6F5E"/>
    <w:rsid w:val="00AE5785"/>
    <w:rsid w:val="00B2745E"/>
    <w:rsid w:val="00B40A21"/>
    <w:rsid w:val="00B503F8"/>
    <w:rsid w:val="00B647C8"/>
    <w:rsid w:val="00B74BEB"/>
    <w:rsid w:val="00B757EE"/>
    <w:rsid w:val="00B8084A"/>
    <w:rsid w:val="00B8124C"/>
    <w:rsid w:val="00BA6D82"/>
    <w:rsid w:val="00BB0DE0"/>
    <w:rsid w:val="00BB1411"/>
    <w:rsid w:val="00BB47BF"/>
    <w:rsid w:val="00BB6381"/>
    <w:rsid w:val="00BE3B77"/>
    <w:rsid w:val="00C45C34"/>
    <w:rsid w:val="00C45E7C"/>
    <w:rsid w:val="00C579AA"/>
    <w:rsid w:val="00C732C4"/>
    <w:rsid w:val="00C75818"/>
    <w:rsid w:val="00C823C0"/>
    <w:rsid w:val="00C861AE"/>
    <w:rsid w:val="00CA2606"/>
    <w:rsid w:val="00CA403A"/>
    <w:rsid w:val="00CC5215"/>
    <w:rsid w:val="00CD58C5"/>
    <w:rsid w:val="00CD6584"/>
    <w:rsid w:val="00CE66FC"/>
    <w:rsid w:val="00CF549A"/>
    <w:rsid w:val="00D01722"/>
    <w:rsid w:val="00D11F01"/>
    <w:rsid w:val="00D227E2"/>
    <w:rsid w:val="00D2490E"/>
    <w:rsid w:val="00D307D1"/>
    <w:rsid w:val="00D34FE1"/>
    <w:rsid w:val="00D461A8"/>
    <w:rsid w:val="00D471FD"/>
    <w:rsid w:val="00D507EA"/>
    <w:rsid w:val="00D668E6"/>
    <w:rsid w:val="00D76BF2"/>
    <w:rsid w:val="00D77B55"/>
    <w:rsid w:val="00D910D4"/>
    <w:rsid w:val="00DA200A"/>
    <w:rsid w:val="00DA6292"/>
    <w:rsid w:val="00DA7704"/>
    <w:rsid w:val="00DC1BEF"/>
    <w:rsid w:val="00DC731B"/>
    <w:rsid w:val="00DF1CBA"/>
    <w:rsid w:val="00DF5280"/>
    <w:rsid w:val="00E30640"/>
    <w:rsid w:val="00E31609"/>
    <w:rsid w:val="00E42236"/>
    <w:rsid w:val="00E42385"/>
    <w:rsid w:val="00E444A4"/>
    <w:rsid w:val="00E50EC5"/>
    <w:rsid w:val="00E82D74"/>
    <w:rsid w:val="00E851D6"/>
    <w:rsid w:val="00EB2E6E"/>
    <w:rsid w:val="00EC1302"/>
    <w:rsid w:val="00ED0F08"/>
    <w:rsid w:val="00EE75C1"/>
    <w:rsid w:val="00EF3ED5"/>
    <w:rsid w:val="00EF4514"/>
    <w:rsid w:val="00F00D85"/>
    <w:rsid w:val="00F2658B"/>
    <w:rsid w:val="00F4305D"/>
    <w:rsid w:val="00F50541"/>
    <w:rsid w:val="00F52A30"/>
    <w:rsid w:val="00F613B8"/>
    <w:rsid w:val="00F64F98"/>
    <w:rsid w:val="00F66AD7"/>
    <w:rsid w:val="00F85D76"/>
    <w:rsid w:val="00F96665"/>
    <w:rsid w:val="00FA5D97"/>
    <w:rsid w:val="00FC3AC9"/>
    <w:rsid w:val="00FC3ADE"/>
    <w:rsid w:val="00FD7FE4"/>
    <w:rsid w:val="00FE0E93"/>
    <w:rsid w:val="00FF1BE0"/>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786B09D-981C-483F-82FF-4FDA1173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E35E6"/>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link w:val="bodytext1Char"/>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link w:val="indentbodytext2Char"/>
    <w:uiPriority w:val="99"/>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link w:val="table10textChar"/>
    <w:uiPriority w:val="99"/>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link w:val="table7textChar"/>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rsid w:val="00006C14"/>
    <w:rPr>
      <w:sz w:val="16"/>
      <w:szCs w:val="16"/>
    </w:rPr>
  </w:style>
  <w:style w:type="paragraph" w:styleId="CommentText">
    <w:name w:val="annotation text"/>
    <w:basedOn w:val="Normal"/>
    <w:link w:val="CommentTextChar"/>
    <w:rsid w:val="00006C14"/>
    <w:rPr>
      <w:sz w:val="20"/>
      <w:szCs w:val="20"/>
    </w:rPr>
  </w:style>
  <w:style w:type="character" w:customStyle="1" w:styleId="CommentTextChar">
    <w:name w:val="Comment Text Char"/>
    <w:basedOn w:val="DefaultParagraphFont"/>
    <w:link w:val="CommentText"/>
    <w:rsid w:val="00006C14"/>
  </w:style>
  <w:style w:type="paragraph" w:styleId="CommentSubject">
    <w:name w:val="annotation subject"/>
    <w:basedOn w:val="CommentText"/>
    <w:next w:val="CommentText"/>
    <w:link w:val="CommentSubjectChar"/>
    <w:rsid w:val="00006C14"/>
    <w:rPr>
      <w:b/>
      <w:bCs/>
    </w:rPr>
  </w:style>
  <w:style w:type="character" w:customStyle="1" w:styleId="CommentSubjectChar">
    <w:name w:val="Comment Subject Char"/>
    <w:link w:val="CommentSubject"/>
    <w:rsid w:val="00006C14"/>
    <w:rPr>
      <w:b/>
      <w:bCs/>
    </w:rPr>
  </w:style>
  <w:style w:type="paragraph" w:styleId="BalloonText">
    <w:name w:val="Balloon Text"/>
    <w:basedOn w:val="Normal"/>
    <w:link w:val="BalloonTextChar"/>
    <w:rsid w:val="00006C14"/>
    <w:rPr>
      <w:rFonts w:ascii="Tahoma" w:hAnsi="Tahoma" w:cs="Tahoma"/>
      <w:sz w:val="16"/>
      <w:szCs w:val="16"/>
    </w:rPr>
  </w:style>
  <w:style w:type="character" w:customStyle="1" w:styleId="BalloonTextChar">
    <w:name w:val="Balloon Text Char"/>
    <w:link w:val="BalloonText"/>
    <w:rsid w:val="00006C14"/>
    <w:rPr>
      <w:rFonts w:ascii="Tahoma" w:hAnsi="Tahoma" w:cs="Tahoma"/>
      <w:sz w:val="16"/>
      <w:szCs w:val="16"/>
    </w:rPr>
  </w:style>
  <w:style w:type="character" w:customStyle="1" w:styleId="HeaderChar">
    <w:name w:val="Header Char"/>
    <w:link w:val="Header"/>
    <w:uiPriority w:val="99"/>
    <w:rsid w:val="00D471FD"/>
    <w:rPr>
      <w:sz w:val="24"/>
      <w:szCs w:val="24"/>
    </w:rPr>
  </w:style>
  <w:style w:type="paragraph" w:styleId="ListParagraph">
    <w:name w:val="List Paragraph"/>
    <w:basedOn w:val="Normal"/>
    <w:uiPriority w:val="34"/>
    <w:qFormat/>
    <w:rsid w:val="009E4747"/>
    <w:pPr>
      <w:ind w:left="720"/>
    </w:pPr>
  </w:style>
  <w:style w:type="character" w:customStyle="1" w:styleId="table10textChar">
    <w:name w:val="table 10 text Char"/>
    <w:link w:val="table10text"/>
    <w:uiPriority w:val="99"/>
    <w:rsid w:val="00825F9F"/>
  </w:style>
  <w:style w:type="character" w:customStyle="1" w:styleId="bodytext1Char">
    <w:name w:val="body text 1 Char"/>
    <w:link w:val="bodytext1"/>
    <w:locked/>
    <w:rsid w:val="00825F9F"/>
    <w:rPr>
      <w:spacing w:val="-2"/>
    </w:rPr>
  </w:style>
  <w:style w:type="character" w:customStyle="1" w:styleId="indentbodytext2Char">
    <w:name w:val="indent body text 2 Char"/>
    <w:link w:val="indentbodytext2"/>
    <w:uiPriority w:val="99"/>
    <w:locked/>
    <w:rsid w:val="00825F9F"/>
  </w:style>
  <w:style w:type="character" w:customStyle="1" w:styleId="PlainTextChar">
    <w:name w:val="Plain Text Char"/>
    <w:link w:val="PlainText"/>
    <w:rsid w:val="00DA6292"/>
    <w:rPr>
      <w:rFonts w:ascii="Courier New" w:hAnsi="Courier New" w:cs="Courier New"/>
    </w:rPr>
  </w:style>
  <w:style w:type="character" w:customStyle="1" w:styleId="table7textChar">
    <w:name w:val="table 7 text Char"/>
    <w:link w:val="table7text"/>
    <w:rsid w:val="00DA6292"/>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751D-D7D0-4145-8056-021B21EA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FP14 LOS Section 402</vt:lpstr>
    </vt:vector>
  </TitlesOfParts>
  <Company>fhwa</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402</dc:title>
  <dc:subject>FP14 LOS</dc:subject>
  <dc:creator>FHWA</dc:creator>
  <cp:lastModifiedBy>Ouhssayne, Lahoucine lo. (FHWA)</cp:lastModifiedBy>
  <cp:revision>102</cp:revision>
  <cp:lastPrinted>2018-01-03T21:21:00Z</cp:lastPrinted>
  <dcterms:created xsi:type="dcterms:W3CDTF">2016-02-18T13:32:00Z</dcterms:created>
  <dcterms:modified xsi:type="dcterms:W3CDTF">2018-01-25T13:16:00Z</dcterms:modified>
</cp:coreProperties>
</file>