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95739" w14:textId="71280587" w:rsidR="00D23608" w:rsidRDefault="00330ADD" w:rsidP="00D23608">
      <w:pPr>
        <w:pStyle w:val="BodyText"/>
        <w:spacing w:after="0"/>
        <w:jc w:val="right"/>
        <w:rPr>
          <w:vanish/>
        </w:rPr>
      </w:pPr>
      <w:r>
        <w:rPr>
          <w:vanish/>
        </w:rPr>
        <w:t>0</w:t>
      </w:r>
      <w:r w:rsidR="00A05FCD">
        <w:rPr>
          <w:vanish/>
        </w:rPr>
        <w:t>2</w:t>
      </w:r>
      <w:r w:rsidR="00D23608">
        <w:rPr>
          <w:vanish/>
        </w:rPr>
        <w:t>/</w:t>
      </w:r>
      <w:r>
        <w:rPr>
          <w:vanish/>
        </w:rPr>
        <w:t>25</w:t>
      </w:r>
      <w:r w:rsidR="00D23608">
        <w:rPr>
          <w:vanish/>
        </w:rPr>
        <w:t>/202</w:t>
      </w:r>
      <w:r>
        <w:rPr>
          <w:vanish/>
        </w:rPr>
        <w:t>5</w:t>
      </w:r>
    </w:p>
    <w:p w14:paraId="62F02231" w14:textId="6CC067DE" w:rsidR="00150587" w:rsidRPr="007D4483" w:rsidRDefault="006F1AA4" w:rsidP="007D4483">
      <w:pPr>
        <w:pStyle w:val="BodyText"/>
        <w:pBdr>
          <w:top w:val="thinThickSmallGap" w:sz="12" w:space="1" w:color="FF0000"/>
          <w:left w:val="thinThickSmallGap" w:sz="12" w:space="4" w:color="FF0000"/>
          <w:bottom w:val="thickThinSmallGap" w:sz="12" w:space="1" w:color="FF0000"/>
          <w:right w:val="thickThinSmallGap" w:sz="12" w:space="4" w:color="FF0000"/>
        </w:pBdr>
        <w:rPr>
          <w:strike/>
          <w:vanish/>
        </w:rPr>
      </w:pPr>
      <w:r w:rsidRPr="007D4483">
        <w:rPr>
          <w:vanish/>
        </w:rPr>
        <w:t>Include if using a Section 401 pay item</w:t>
      </w:r>
      <w:r w:rsidR="007D4483" w:rsidRPr="007D4483">
        <w:rPr>
          <w:vanish/>
        </w:rPr>
        <w:t>.</w:t>
      </w:r>
    </w:p>
    <w:p w14:paraId="7BB144A0" w14:textId="71D4BBC7" w:rsidR="00150587" w:rsidRPr="007D4483" w:rsidRDefault="00150587" w:rsidP="007D4483">
      <w:pPr>
        <w:pStyle w:val="BodyText"/>
        <w:pBdr>
          <w:top w:val="thinThickSmallGap" w:sz="12" w:space="1" w:color="FF0000"/>
          <w:left w:val="thinThickSmallGap" w:sz="12" w:space="4" w:color="FF0000"/>
          <w:bottom w:val="thickThinSmallGap" w:sz="12" w:space="1" w:color="FF0000"/>
          <w:right w:val="thickThinSmallGap" w:sz="12" w:space="4" w:color="FF0000"/>
        </w:pBdr>
        <w:rPr>
          <w:vanish/>
        </w:rPr>
      </w:pPr>
      <w:r w:rsidRPr="007D4483">
        <w:rPr>
          <w:vanish/>
        </w:rPr>
        <w:t xml:space="preserve">The CFL Incentives and Adjustments spreadsheet that matches the roughness calculations shown in this SCR has a revised date of </w:t>
      </w:r>
      <w:r w:rsidR="006866AE">
        <w:rPr>
          <w:vanish/>
        </w:rPr>
        <w:t>9/5/24.</w:t>
      </w:r>
    </w:p>
    <w:p w14:paraId="797ABB71" w14:textId="77777777" w:rsidR="00C847F2" w:rsidRPr="003A33E2" w:rsidRDefault="00C847F2" w:rsidP="00C847F2">
      <w:pPr>
        <w:pStyle w:val="Heading2"/>
      </w:pPr>
      <w:bookmarkStart w:id="0" w:name="_Toc334092542"/>
      <w:bookmarkStart w:id="1" w:name="_Toc359918967"/>
      <w:bookmarkStart w:id="2" w:name="_Toc382981306"/>
      <w:r w:rsidRPr="003A33E2">
        <w:t>Section 401. — ASPHALT CONCRETE PAVEMENT</w:t>
      </w:r>
      <w:bookmarkEnd w:id="0"/>
      <w:r w:rsidRPr="003A33E2">
        <w:br/>
      </w:r>
      <w:bookmarkStart w:id="3" w:name="_Toc334092543"/>
      <w:r w:rsidRPr="003A33E2">
        <w:t>BY GYRATORY MIX DESIGN METHOD</w:t>
      </w:r>
      <w:bookmarkEnd w:id="1"/>
      <w:bookmarkEnd w:id="2"/>
      <w:bookmarkEnd w:id="3"/>
    </w:p>
    <w:p w14:paraId="06474A1A" w14:textId="77777777" w:rsidR="00150587"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vanish/>
          <w:sz w:val="24"/>
          <w:szCs w:val="24"/>
        </w:rPr>
        <w:t xml:space="preserve">Enter the pavement roughness type and asphalt binder grade in the </w:t>
      </w:r>
      <w:r w:rsidRPr="00150587">
        <w:rPr>
          <w:rFonts w:ascii="Times New Roman" w:eastAsia="MS Mincho" w:hAnsi="Times New Roman"/>
          <w:vanish/>
          <w:sz w:val="24"/>
          <w:szCs w:val="24"/>
          <w:highlight w:val="yellow"/>
        </w:rPr>
        <w:t>highlighted areas below</w:t>
      </w:r>
      <w:r w:rsidRPr="00150587">
        <w:rPr>
          <w:rFonts w:ascii="Times New Roman" w:eastAsia="MS Mincho" w:hAnsi="Times New Roman"/>
          <w:vanish/>
          <w:sz w:val="24"/>
          <w:szCs w:val="24"/>
        </w:rPr>
        <w:t>. Materials will provide to the designer the following:</w:t>
      </w:r>
    </w:p>
    <w:p w14:paraId="2C1BA111" w14:textId="77777777" w:rsidR="00150587"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vanish/>
          <w:sz w:val="24"/>
          <w:szCs w:val="24"/>
        </w:rPr>
      </w:pPr>
      <w:r w:rsidRPr="00150587">
        <w:rPr>
          <w:rFonts w:ascii="Times New Roman" w:eastAsia="MS Mincho" w:hAnsi="Times New Roman"/>
          <w:b/>
          <w:vanish/>
          <w:sz w:val="24"/>
          <w:szCs w:val="24"/>
        </w:rPr>
        <w:t>Roughness type</w:t>
      </w:r>
      <w:r w:rsidRPr="00150587">
        <w:rPr>
          <w:rFonts w:ascii="Times New Roman" w:eastAsia="MS Mincho" w:hAnsi="Times New Roman"/>
          <w:vanish/>
          <w:sz w:val="24"/>
          <w:szCs w:val="24"/>
        </w:rPr>
        <w:t>: Use the following guidelines:</w:t>
      </w:r>
    </w:p>
    <w:p w14:paraId="06EEA323" w14:textId="2EB0DCAB" w:rsidR="00150587"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 xml:space="preserve">Type I </w:t>
      </w:r>
      <w:r w:rsidRPr="00150587">
        <w:rPr>
          <w:rFonts w:ascii="Times New Roman" w:eastAsia="MS Mincho" w:hAnsi="Times New Roman"/>
          <w:vanish/>
          <w:sz w:val="24"/>
          <w:szCs w:val="24"/>
        </w:rPr>
        <w:t xml:space="preserve">is for 3R mill and fill </w:t>
      </w:r>
      <w:r w:rsidRPr="00EF3A7C">
        <w:rPr>
          <w:rFonts w:ascii="Times New Roman" w:eastAsia="MS Mincho" w:hAnsi="Times New Roman"/>
          <w:bCs/>
          <w:vanish/>
          <w:sz w:val="24"/>
          <w:szCs w:val="24"/>
        </w:rPr>
        <w:t>ONE</w:t>
      </w:r>
      <w:r w:rsidRPr="00150587">
        <w:rPr>
          <w:rFonts w:ascii="Times New Roman" w:eastAsia="MS Mincho" w:hAnsi="Times New Roman"/>
          <w:b/>
          <w:vanish/>
          <w:sz w:val="24"/>
          <w:szCs w:val="24"/>
        </w:rPr>
        <w:t xml:space="preserve"> </w:t>
      </w:r>
      <w:r w:rsidRPr="005977C8">
        <w:rPr>
          <w:rFonts w:ascii="Times New Roman" w:eastAsia="MS Mincho" w:hAnsi="Times New Roman"/>
          <w:bCs/>
          <w:vanish/>
          <w:sz w:val="24"/>
          <w:szCs w:val="24"/>
        </w:rPr>
        <w:t>lift</w:t>
      </w:r>
      <w:r w:rsidRPr="00150587">
        <w:rPr>
          <w:rFonts w:ascii="Times New Roman" w:eastAsia="MS Mincho" w:hAnsi="Times New Roman"/>
          <w:vanish/>
          <w:sz w:val="24"/>
          <w:szCs w:val="24"/>
        </w:rPr>
        <w:t>. This requires before and after IRI measurement.</w:t>
      </w:r>
    </w:p>
    <w:p w14:paraId="7142F8EC" w14:textId="5CC70EB6" w:rsidR="00150587" w:rsidRPr="00EF3A7C"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w:t>
      </w:r>
      <w:r w:rsidRPr="00150587">
        <w:rPr>
          <w:rFonts w:ascii="Times New Roman" w:eastAsia="MS Mincho" w:hAnsi="Times New Roman"/>
          <w:vanish/>
          <w:sz w:val="24"/>
          <w:szCs w:val="24"/>
        </w:rPr>
        <w:t xml:space="preserve">Type I-A is for speeds </w:t>
      </w:r>
      <w:r w:rsidRPr="00EF3A7C">
        <w:rPr>
          <w:rFonts w:ascii="Times New Roman" w:eastAsia="MS Mincho" w:hAnsi="Times New Roman"/>
          <w:bCs/>
          <w:vanish/>
          <w:sz w:val="24"/>
          <w:szCs w:val="24"/>
        </w:rPr>
        <w:t>greater than 35 mph</w:t>
      </w:r>
      <w:r w:rsidR="00EF3A7C">
        <w:rPr>
          <w:rFonts w:ascii="Times New Roman" w:eastAsia="MS Mincho" w:hAnsi="Times New Roman"/>
          <w:bCs/>
          <w:vanish/>
          <w:sz w:val="24"/>
          <w:szCs w:val="24"/>
        </w:rPr>
        <w:t>.</w:t>
      </w:r>
    </w:p>
    <w:p w14:paraId="7D6F8A9F" w14:textId="7C88178E" w:rsidR="00150587" w:rsidRPr="00EF3A7C"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bCs/>
          <w:vanish/>
          <w:sz w:val="24"/>
          <w:szCs w:val="24"/>
        </w:rPr>
      </w:pPr>
      <w:r w:rsidRPr="00EF3A7C">
        <w:rPr>
          <w:rFonts w:ascii="Times New Roman" w:eastAsia="MS Mincho" w:hAnsi="Times New Roman"/>
          <w:bCs/>
          <w:vanish/>
          <w:sz w:val="24"/>
          <w:szCs w:val="24"/>
        </w:rPr>
        <w:t xml:space="preserve">-Type I-B is for </w:t>
      </w:r>
      <w:r w:rsidR="005977C8" w:rsidRPr="00EF3A7C">
        <w:rPr>
          <w:rFonts w:ascii="Times New Roman" w:eastAsia="MS Mincho" w:hAnsi="Times New Roman"/>
          <w:bCs/>
          <w:vanish/>
          <w:sz w:val="24"/>
          <w:szCs w:val="24"/>
        </w:rPr>
        <w:t>speed</w:t>
      </w:r>
      <w:r w:rsidRPr="00EF3A7C">
        <w:rPr>
          <w:rFonts w:ascii="Times New Roman" w:eastAsia="MS Mincho" w:hAnsi="Times New Roman"/>
          <w:bCs/>
          <w:vanish/>
          <w:sz w:val="24"/>
          <w:szCs w:val="24"/>
        </w:rPr>
        <w:t>s less than 35 mph.</w:t>
      </w:r>
    </w:p>
    <w:p w14:paraId="258EC7B9" w14:textId="77777777" w:rsidR="00150587"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Type II</w:t>
      </w:r>
      <w:r w:rsidRPr="00150587">
        <w:rPr>
          <w:rFonts w:ascii="Times New Roman" w:eastAsia="MS Mincho" w:hAnsi="Times New Roman"/>
          <w:vanish/>
          <w:sz w:val="24"/>
          <w:szCs w:val="24"/>
        </w:rPr>
        <w:t xml:space="preserve"> is for 3R mill and fill </w:t>
      </w:r>
      <w:r w:rsidRPr="00EF3A7C">
        <w:rPr>
          <w:rFonts w:ascii="Times New Roman" w:eastAsia="MS Mincho" w:hAnsi="Times New Roman"/>
          <w:bCs/>
          <w:vanish/>
          <w:sz w:val="24"/>
          <w:szCs w:val="24"/>
        </w:rPr>
        <w:t>TWO</w:t>
      </w:r>
      <w:r w:rsidRPr="00150587">
        <w:rPr>
          <w:rFonts w:ascii="Times New Roman" w:eastAsia="MS Mincho" w:hAnsi="Times New Roman"/>
          <w:vanish/>
          <w:sz w:val="24"/>
          <w:szCs w:val="24"/>
        </w:rPr>
        <w:t xml:space="preserve"> lifts. This requires before and after IRI measurement.</w:t>
      </w:r>
    </w:p>
    <w:p w14:paraId="3EB02920" w14:textId="5B8C373B" w:rsidR="00150587" w:rsidRPr="00EF3A7C"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w:t>
      </w:r>
      <w:r w:rsidRPr="00150587">
        <w:rPr>
          <w:rFonts w:ascii="Times New Roman" w:eastAsia="MS Mincho" w:hAnsi="Times New Roman"/>
          <w:vanish/>
          <w:sz w:val="24"/>
          <w:szCs w:val="24"/>
        </w:rPr>
        <w:t>Type I</w:t>
      </w:r>
      <w:r>
        <w:rPr>
          <w:rFonts w:ascii="Times New Roman" w:eastAsia="MS Mincho" w:hAnsi="Times New Roman"/>
          <w:vanish/>
          <w:sz w:val="24"/>
          <w:szCs w:val="24"/>
        </w:rPr>
        <w:t>I</w:t>
      </w:r>
      <w:r w:rsidRPr="00150587">
        <w:rPr>
          <w:rFonts w:ascii="Times New Roman" w:eastAsia="MS Mincho" w:hAnsi="Times New Roman"/>
          <w:vanish/>
          <w:sz w:val="24"/>
          <w:szCs w:val="24"/>
        </w:rPr>
        <w:t xml:space="preserve">-A is for speeds </w:t>
      </w:r>
      <w:r w:rsidRPr="00EF3A7C">
        <w:rPr>
          <w:rFonts w:ascii="Times New Roman" w:eastAsia="MS Mincho" w:hAnsi="Times New Roman"/>
          <w:bCs/>
          <w:vanish/>
          <w:sz w:val="24"/>
          <w:szCs w:val="24"/>
        </w:rPr>
        <w:t>greater than 35 mph</w:t>
      </w:r>
      <w:r w:rsidR="00EF3A7C">
        <w:rPr>
          <w:rFonts w:ascii="Times New Roman" w:eastAsia="MS Mincho" w:hAnsi="Times New Roman"/>
          <w:bCs/>
          <w:vanish/>
          <w:sz w:val="24"/>
          <w:szCs w:val="24"/>
        </w:rPr>
        <w:t>.</w:t>
      </w:r>
    </w:p>
    <w:p w14:paraId="4F056271" w14:textId="437CBFD1" w:rsidR="00150587" w:rsidRPr="00EF3A7C"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120"/>
        <w:rPr>
          <w:rFonts w:ascii="Times New Roman" w:eastAsia="MS Mincho" w:hAnsi="Times New Roman"/>
          <w:bCs/>
          <w:vanish/>
          <w:sz w:val="24"/>
          <w:szCs w:val="24"/>
        </w:rPr>
      </w:pPr>
      <w:r w:rsidRPr="00EF3A7C">
        <w:rPr>
          <w:rFonts w:ascii="Times New Roman" w:eastAsia="MS Mincho" w:hAnsi="Times New Roman"/>
          <w:bCs/>
          <w:vanish/>
          <w:sz w:val="24"/>
          <w:szCs w:val="24"/>
        </w:rPr>
        <w:t xml:space="preserve">-Type II-B is for </w:t>
      </w:r>
      <w:r w:rsidR="005977C8" w:rsidRPr="00EF3A7C">
        <w:rPr>
          <w:rFonts w:ascii="Times New Roman" w:eastAsia="MS Mincho" w:hAnsi="Times New Roman"/>
          <w:bCs/>
          <w:vanish/>
          <w:sz w:val="24"/>
          <w:szCs w:val="24"/>
        </w:rPr>
        <w:t>speeds</w:t>
      </w:r>
      <w:r w:rsidRPr="00EF3A7C">
        <w:rPr>
          <w:rFonts w:ascii="Times New Roman" w:eastAsia="MS Mincho" w:hAnsi="Times New Roman"/>
          <w:bCs/>
          <w:vanish/>
          <w:sz w:val="24"/>
          <w:szCs w:val="24"/>
        </w:rPr>
        <w:t xml:space="preserve"> less than 35 mph.</w:t>
      </w:r>
    </w:p>
    <w:p w14:paraId="6F4F9D24" w14:textId="77777777" w:rsidR="00150587"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vanish/>
          <w:sz w:val="24"/>
          <w:szCs w:val="24"/>
        </w:rPr>
      </w:pPr>
      <w:r w:rsidRPr="00150587">
        <w:rPr>
          <w:rFonts w:ascii="Times New Roman" w:eastAsia="MS Mincho" w:hAnsi="Times New Roman"/>
          <w:b/>
          <w:vanish/>
          <w:sz w:val="24"/>
          <w:szCs w:val="24"/>
        </w:rPr>
        <w:t>Type III</w:t>
      </w:r>
      <w:r w:rsidRPr="00150587">
        <w:rPr>
          <w:rFonts w:ascii="Times New Roman" w:eastAsia="MS Mincho" w:hAnsi="Times New Roman"/>
          <w:vanish/>
          <w:sz w:val="24"/>
          <w:szCs w:val="24"/>
        </w:rPr>
        <w:t xml:space="preserve"> is for 4R and 3R work with pulverization, base, or other typical section work prior to placing the asphalt.</w:t>
      </w:r>
    </w:p>
    <w:p w14:paraId="46FEC472" w14:textId="14129E4E" w:rsidR="00150587" w:rsidRPr="00EF3A7C"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Pr>
          <w:rFonts w:ascii="Times New Roman" w:eastAsia="MS Mincho" w:hAnsi="Times New Roman"/>
          <w:vanish/>
          <w:sz w:val="24"/>
          <w:szCs w:val="24"/>
        </w:rPr>
        <w:t>-</w:t>
      </w:r>
      <w:r w:rsidRPr="00150587">
        <w:rPr>
          <w:rFonts w:ascii="Times New Roman" w:eastAsia="MS Mincho" w:hAnsi="Times New Roman"/>
          <w:vanish/>
          <w:sz w:val="24"/>
          <w:szCs w:val="24"/>
        </w:rPr>
        <w:t xml:space="preserve">Type III-A is for speeds </w:t>
      </w:r>
      <w:r w:rsidRPr="00EF3A7C">
        <w:rPr>
          <w:rFonts w:ascii="Times New Roman" w:eastAsia="MS Mincho" w:hAnsi="Times New Roman"/>
          <w:bCs/>
          <w:vanish/>
          <w:sz w:val="24"/>
          <w:szCs w:val="24"/>
        </w:rPr>
        <w:t>greater than 35 mph.</w:t>
      </w:r>
    </w:p>
    <w:p w14:paraId="37FB1D33" w14:textId="0E9DEBAF" w:rsidR="00150587" w:rsidRPr="00EF3A7C"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EF3A7C">
        <w:rPr>
          <w:rFonts w:ascii="Times New Roman" w:eastAsia="MS Mincho" w:hAnsi="Times New Roman"/>
          <w:bCs/>
          <w:vanish/>
          <w:sz w:val="24"/>
          <w:szCs w:val="24"/>
        </w:rPr>
        <w:t>-Type III-B is for s</w:t>
      </w:r>
      <w:r w:rsidR="005977C8" w:rsidRPr="00EF3A7C">
        <w:rPr>
          <w:rFonts w:ascii="Times New Roman" w:eastAsia="MS Mincho" w:hAnsi="Times New Roman"/>
          <w:bCs/>
          <w:vanish/>
          <w:sz w:val="24"/>
          <w:szCs w:val="24"/>
        </w:rPr>
        <w:t>peeds</w:t>
      </w:r>
      <w:r w:rsidRPr="00EF3A7C">
        <w:rPr>
          <w:rFonts w:ascii="Times New Roman" w:eastAsia="MS Mincho" w:hAnsi="Times New Roman"/>
          <w:bCs/>
          <w:vanish/>
          <w:sz w:val="24"/>
          <w:szCs w:val="24"/>
        </w:rPr>
        <w:t xml:space="preserve"> less than 35 mph.</w:t>
      </w:r>
    </w:p>
    <w:p w14:paraId="536D47F8" w14:textId="77777777" w:rsidR="00150587"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b/>
          <w:vanish/>
          <w:sz w:val="24"/>
          <w:szCs w:val="24"/>
        </w:rPr>
        <w:t>Asphalt binder grade</w:t>
      </w:r>
      <w:r w:rsidRPr="00150587">
        <w:rPr>
          <w:rFonts w:ascii="Times New Roman" w:eastAsia="MS Mincho" w:hAnsi="Times New Roman"/>
          <w:vanish/>
          <w:sz w:val="24"/>
          <w:szCs w:val="24"/>
        </w:rPr>
        <w:t>: Binder grade is project specific.</w:t>
      </w:r>
    </w:p>
    <w:p w14:paraId="48A62241" w14:textId="186C8070" w:rsidR="00150587" w:rsidRPr="00150587" w:rsidRDefault="00150587" w:rsidP="00150587">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vanish/>
          <w:sz w:val="24"/>
          <w:szCs w:val="24"/>
        </w:rPr>
      </w:pPr>
      <w:r w:rsidRPr="00150587">
        <w:rPr>
          <w:rFonts w:ascii="Times New Roman" w:eastAsia="MS Mincho" w:hAnsi="Times New Roman"/>
          <w:b/>
          <w:vanish/>
          <w:sz w:val="24"/>
          <w:szCs w:val="24"/>
        </w:rPr>
        <w:t>Pressure Aging Vessel Temperature</w:t>
      </w:r>
      <w:r w:rsidRPr="00150587">
        <w:rPr>
          <w:rFonts w:ascii="Times New Roman" w:eastAsia="MS Mincho" w:hAnsi="Times New Roman"/>
          <w:vanish/>
          <w:sz w:val="24"/>
          <w:szCs w:val="24"/>
        </w:rPr>
        <w:t>: The default temperature should be</w:t>
      </w:r>
      <w:r w:rsidR="00266583">
        <w:rPr>
          <w:rFonts w:ascii="Times New Roman" w:eastAsia="MS Mincho" w:hAnsi="Times New Roman"/>
          <w:vanish/>
          <w:sz w:val="24"/>
          <w:szCs w:val="24"/>
        </w:rPr>
        <w:t xml:space="preserve"> </w:t>
      </w:r>
      <w:r w:rsidRPr="00150587">
        <w:rPr>
          <w:rFonts w:ascii="Times New Roman" w:eastAsia="MS Mincho" w:hAnsi="Times New Roman"/>
          <w:vanish/>
          <w:sz w:val="24"/>
          <w:szCs w:val="24"/>
        </w:rPr>
        <w:t>212°F. If the project is in a desert environment the temperature could change to 230°F in the</w:t>
      </w:r>
      <w:r w:rsidRPr="00150587">
        <w:rPr>
          <w:rFonts w:ascii="Times New Roman" w:eastAsia="MS Mincho" w:hAnsi="Times New Roman"/>
          <w:b/>
          <w:vanish/>
          <w:sz w:val="24"/>
          <w:szCs w:val="24"/>
        </w:rPr>
        <w:t xml:space="preserve"> </w:t>
      </w:r>
      <w:r w:rsidRPr="005977C8">
        <w:rPr>
          <w:rFonts w:ascii="Times New Roman" w:eastAsia="MS Mincho" w:hAnsi="Times New Roman"/>
          <w:bCs/>
          <w:vanish/>
          <w:sz w:val="24"/>
          <w:szCs w:val="24"/>
          <w:highlight w:val="yellow"/>
        </w:rPr>
        <w:t>highlighted area below.</w:t>
      </w:r>
    </w:p>
    <w:p w14:paraId="594FC5CD" w14:textId="77777777" w:rsidR="00C847F2" w:rsidRPr="001A160D" w:rsidRDefault="00C847F2" w:rsidP="001A160D">
      <w:pPr>
        <w:pStyle w:val="BodyText"/>
        <w:jc w:val="center"/>
        <w:rPr>
          <w:b/>
          <w:bCs/>
        </w:rPr>
      </w:pPr>
      <w:r w:rsidRPr="001A160D">
        <w:rPr>
          <w:b/>
          <w:bCs/>
        </w:rPr>
        <w:t>Construction Requirements</w:t>
      </w:r>
    </w:p>
    <w:p w14:paraId="35C83C83" w14:textId="4D601E7D" w:rsidR="005E05B1" w:rsidRDefault="00C847F2" w:rsidP="001A160D">
      <w:pPr>
        <w:pStyle w:val="BodyText"/>
      </w:pPr>
      <w:r w:rsidRPr="001A160D">
        <w:rPr>
          <w:b/>
          <w:bCs/>
        </w:rPr>
        <w:t>401.03 Composition of Mix (Job-Mix Formula).</w:t>
      </w:r>
      <w:r>
        <w:t xml:space="preserve"> </w:t>
      </w:r>
      <w:r w:rsidR="005E05B1" w:rsidRPr="007D4483">
        <w:rPr>
          <w:u w:val="single"/>
        </w:rPr>
        <w:t>Add the following:</w:t>
      </w:r>
    </w:p>
    <w:p w14:paraId="0AD0F3F7" w14:textId="0A69E20D" w:rsidR="005E05B1" w:rsidRPr="004D0941" w:rsidRDefault="005E05B1" w:rsidP="001A160D">
      <w:pPr>
        <w:pStyle w:val="BodyText"/>
      </w:pPr>
      <w:r w:rsidRPr="004D0941">
        <w:t xml:space="preserve">A minimum of one percent </w:t>
      </w:r>
      <w:r w:rsidR="00EF3A7C">
        <w:t>antistrip additive, t</w:t>
      </w:r>
      <w:r w:rsidRPr="004D0941">
        <w:t>ype 3 (lime) is required in the asphalt concrete mixture.</w:t>
      </w:r>
    </w:p>
    <w:p w14:paraId="133AE30D" w14:textId="23F95EC0" w:rsidR="005E05B1" w:rsidRPr="00453535" w:rsidRDefault="005E05B1" w:rsidP="001A160D">
      <w:pPr>
        <w:pStyle w:val="BodyText"/>
      </w:pPr>
      <w:r w:rsidRPr="00453535">
        <w:t xml:space="preserve">Pavement roughness is type </w:t>
      </w:r>
      <w:r w:rsidR="00A05FCD" w:rsidRPr="00A05FCD">
        <w:rPr>
          <w:highlight w:val="yellow"/>
        </w:rPr>
        <w:t>&lt;&lt;&lt;</w:t>
      </w:r>
      <w:r w:rsidRPr="00A05FCD">
        <w:rPr>
          <w:highlight w:val="yellow"/>
        </w:rPr>
        <w:t>I-A, I-B, II-A, II-B, III-A, or III-B</w:t>
      </w:r>
      <w:r w:rsidR="00A05FCD" w:rsidRPr="00A05FCD">
        <w:rPr>
          <w:highlight w:val="yellow"/>
        </w:rPr>
        <w:t>&gt;&gt;&gt;</w:t>
      </w:r>
      <w:r w:rsidRPr="00A05FCD">
        <w:t>,</w:t>
      </w:r>
      <w:r w:rsidRPr="00453535">
        <w:t xml:space="preserve"> </w:t>
      </w:r>
      <w:r>
        <w:t xml:space="preserve">and IV </w:t>
      </w:r>
      <w:r w:rsidRPr="00453535">
        <w:rPr>
          <w:szCs w:val="24"/>
        </w:rPr>
        <w:t>as shown in Subsection 401.16.</w:t>
      </w:r>
    </w:p>
    <w:p w14:paraId="55251568" w14:textId="36442497" w:rsidR="005E05B1" w:rsidRDefault="005E05B1" w:rsidP="001A160D">
      <w:pPr>
        <w:pStyle w:val="BodyText"/>
      </w:pPr>
      <w:r>
        <w:t xml:space="preserve">Asphalt binder grade is </w:t>
      </w:r>
      <w:r w:rsidRPr="00242392">
        <w:t xml:space="preserve">PG </w:t>
      </w:r>
      <w:r w:rsidR="00A05FCD" w:rsidRPr="00A05FCD">
        <w:rPr>
          <w:highlight w:val="yellow"/>
        </w:rPr>
        <w:t>&lt;&lt;&lt;</w:t>
      </w:r>
      <w:r w:rsidRPr="00A05FCD">
        <w:rPr>
          <w:highlight w:val="yellow"/>
        </w:rPr>
        <w:t>xx-xx</w:t>
      </w:r>
      <w:r w:rsidR="00A05FCD" w:rsidRPr="00A05FCD">
        <w:rPr>
          <w:highlight w:val="yellow"/>
        </w:rPr>
        <w:t>&gt;&gt;&gt;</w:t>
      </w:r>
      <w:r w:rsidRPr="00A05FCD">
        <w:t>.</w:t>
      </w:r>
      <w:r w:rsidRPr="00242392">
        <w:t xml:space="preserve"> The Pressure Aging Vessel test temperature </w:t>
      </w:r>
      <w:r w:rsidR="006F1AA4" w:rsidRPr="00A05FCD">
        <w:t>is</w:t>
      </w:r>
      <w:r w:rsidR="00A05FCD">
        <w:t xml:space="preserve"> </w:t>
      </w:r>
      <w:r w:rsidR="00A05FCD" w:rsidRPr="00A05FCD">
        <w:rPr>
          <w:highlight w:val="yellow"/>
        </w:rPr>
        <w:t>&lt;&lt;&lt;</w:t>
      </w:r>
      <w:r w:rsidRPr="00A05FCD">
        <w:rPr>
          <w:highlight w:val="yellow"/>
        </w:rPr>
        <w:t>212</w:t>
      </w:r>
      <w:r w:rsidR="009E41AD">
        <w:rPr>
          <w:highlight w:val="yellow"/>
        </w:rPr>
        <w:t>&gt;&gt;&gt;</w:t>
      </w:r>
      <w:r w:rsidR="00242392" w:rsidRPr="00A05FCD">
        <w:rPr>
          <w:highlight w:val="yellow"/>
        </w:rPr>
        <w:t xml:space="preserve"> </w:t>
      </w:r>
      <w:r w:rsidRPr="009E41AD">
        <w:t>°F.</w:t>
      </w:r>
    </w:p>
    <w:p w14:paraId="646430FC" w14:textId="3089E94F" w:rsidR="00C847F2" w:rsidRPr="001A160D" w:rsidRDefault="00C847F2" w:rsidP="001A160D">
      <w:pPr>
        <w:pStyle w:val="BodyText"/>
        <w:rPr>
          <w:u w:val="single"/>
        </w:rPr>
      </w:pPr>
      <w:r w:rsidRPr="001A160D">
        <w:rPr>
          <w:u w:val="single"/>
        </w:rPr>
        <w:t>Add the following after the first paragraph:</w:t>
      </w:r>
    </w:p>
    <w:p w14:paraId="72B81E18" w14:textId="1E319A34" w:rsidR="00C847F2" w:rsidRDefault="00C847F2" w:rsidP="001A160D">
      <w:pPr>
        <w:pStyle w:val="BodyText"/>
      </w:pPr>
      <w:r>
        <w:lastRenderedPageBreak/>
        <w:t>Compact specimens with the gyratory effort corresponding to the design ESAL level of 0.3 to &lt;3 million. Use a gyratory compactor which meets the internal angle requirement according to AASHTO T 312.</w:t>
      </w:r>
    </w:p>
    <w:p w14:paraId="1C6763CD" w14:textId="77777777" w:rsidR="00C847F2" w:rsidRDefault="00C847F2" w:rsidP="001A160D">
      <w:pPr>
        <w:pStyle w:val="BodyText"/>
        <w:rPr>
          <w:color w:val="000000"/>
        </w:rPr>
      </w:pPr>
      <w:r w:rsidRPr="000E11EA">
        <w:rPr>
          <w:color w:val="000000"/>
        </w:rPr>
        <w:t xml:space="preserve">If </w:t>
      </w:r>
      <w:r>
        <w:rPr>
          <w:color w:val="000000"/>
        </w:rPr>
        <w:t xml:space="preserve">more than 1.0 percent hydrated lime is proposed in the JMF, provide AASHTO T 283 </w:t>
      </w:r>
      <w:r w:rsidRPr="000E11EA">
        <w:rPr>
          <w:color w:val="000000"/>
        </w:rPr>
        <w:t xml:space="preserve">test results </w:t>
      </w:r>
      <w:r>
        <w:rPr>
          <w:color w:val="000000"/>
        </w:rPr>
        <w:t xml:space="preserve">showing the additional lime is necessary to meet the </w:t>
      </w:r>
      <w:r w:rsidRPr="000E11EA">
        <w:rPr>
          <w:color w:val="000000"/>
        </w:rPr>
        <w:t xml:space="preserve">minimum </w:t>
      </w:r>
      <w:r>
        <w:rPr>
          <w:color w:val="000000"/>
        </w:rPr>
        <w:t>tensile strength ratio requirements in Table 401-1.</w:t>
      </w:r>
    </w:p>
    <w:p w14:paraId="6784BAA3" w14:textId="19ACDFFC" w:rsidR="00C847F2" w:rsidRDefault="00C847F2" w:rsidP="001A160D">
      <w:pPr>
        <w:pStyle w:val="BodyText"/>
        <w:ind w:left="360"/>
      </w:pPr>
      <w:r>
        <w:rPr>
          <w:b/>
        </w:rPr>
        <w:t>(</w:t>
      </w:r>
      <w:r w:rsidR="00462E85">
        <w:rPr>
          <w:b/>
        </w:rPr>
        <w:t>e</w:t>
      </w:r>
      <w:r w:rsidRPr="008E1BD3">
        <w:rPr>
          <w:b/>
        </w:rPr>
        <w:t xml:space="preserve">) </w:t>
      </w:r>
      <w:r w:rsidRPr="00730644">
        <w:rPr>
          <w:b/>
        </w:rPr>
        <w:t>Verification</w:t>
      </w:r>
      <w:r w:rsidRPr="008E1BD3">
        <w:rPr>
          <w:b/>
        </w:rPr>
        <w:t>.</w:t>
      </w:r>
      <w:r>
        <w:t xml:space="preserve"> </w:t>
      </w:r>
      <w:r w:rsidRPr="001A160D">
        <w:rPr>
          <w:u w:val="single"/>
        </w:rPr>
        <w:t>Delete the first paragraph and substitute the following:</w:t>
      </w:r>
    </w:p>
    <w:p w14:paraId="69F8E8A3" w14:textId="3A508C20" w:rsidR="00C847F2" w:rsidRDefault="00C847F2" w:rsidP="001A160D">
      <w:pPr>
        <w:pStyle w:val="BodyText"/>
        <w:ind w:left="360"/>
      </w:pPr>
      <w:r w:rsidRPr="008E1BD3">
        <w:t>The verification process start</w:t>
      </w:r>
      <w:r>
        <w:t>s</w:t>
      </w:r>
      <w:r w:rsidRPr="008E1BD3">
        <w:t xml:space="preserve"> when all required </w:t>
      </w:r>
      <w:r>
        <w:t xml:space="preserve">job mix formula </w:t>
      </w:r>
      <w:r w:rsidRPr="008E1BD3">
        <w:t xml:space="preserve">documentation and materials </w:t>
      </w:r>
      <w:r>
        <w:t xml:space="preserve">are </w:t>
      </w:r>
      <w:r w:rsidRPr="008E1BD3">
        <w:t>received.</w:t>
      </w:r>
      <w:r>
        <w:rPr>
          <w:b/>
        </w:rPr>
        <w:t xml:space="preserve"> </w:t>
      </w:r>
      <w:r w:rsidR="002B4A39">
        <w:t>T</w:t>
      </w:r>
      <w:r>
        <w:t>he information supplied in the Contractor’s job mix formula must agree with the verification test results within the tolerances shown below. Do not begin asphalt concrete mix production for the control strip until the JMF has been approved.</w:t>
      </w:r>
    </w:p>
    <w:p w14:paraId="0D01A4DD" w14:textId="50C578EC" w:rsidR="00C847F2" w:rsidRPr="001A160D" w:rsidRDefault="006858D1" w:rsidP="006858D1">
      <w:pPr>
        <w:pStyle w:val="BodyText"/>
        <w:ind w:left="360"/>
        <w:rPr>
          <w:bCs/>
          <w:u w:val="single"/>
        </w:rPr>
      </w:pPr>
      <w:r>
        <w:rPr>
          <w:b/>
        </w:rPr>
        <w:t>(e</w:t>
      </w:r>
      <w:r w:rsidRPr="008E1BD3">
        <w:rPr>
          <w:b/>
        </w:rPr>
        <w:t xml:space="preserve">) </w:t>
      </w:r>
      <w:r w:rsidRPr="00730644">
        <w:rPr>
          <w:b/>
        </w:rPr>
        <w:t>Verification</w:t>
      </w:r>
      <w:r w:rsidRPr="008E1BD3">
        <w:rPr>
          <w:b/>
        </w:rPr>
        <w:t>.</w:t>
      </w:r>
      <w:r>
        <w:t xml:space="preserve"> </w:t>
      </w:r>
      <w:r w:rsidR="00C847F2" w:rsidRPr="001A160D">
        <w:rPr>
          <w:u w:val="single"/>
        </w:rPr>
        <w:t xml:space="preserve">Delete </w:t>
      </w:r>
      <w:r w:rsidR="00A05FCD">
        <w:rPr>
          <w:u w:val="single"/>
        </w:rPr>
        <w:t xml:space="preserve">Subsections </w:t>
      </w:r>
      <w:r w:rsidR="00C847F2" w:rsidRPr="001A160D">
        <w:rPr>
          <w:u w:val="single"/>
        </w:rPr>
        <w:t>(3) and (4) and substitute the following:</w:t>
      </w:r>
    </w:p>
    <w:p w14:paraId="131E5821" w14:textId="7BF81E9A" w:rsidR="00C847F2" w:rsidRPr="00394D05" w:rsidRDefault="00C847F2" w:rsidP="006858D1">
      <w:pPr>
        <w:pStyle w:val="BodyText"/>
        <w:ind w:left="720"/>
        <w:rPr>
          <w:bCs/>
        </w:rPr>
      </w:pPr>
      <w:r>
        <w:rPr>
          <w:b/>
          <w:bCs/>
        </w:rPr>
        <w:t>(3) Bulk specific gravity of aggregate (G</w:t>
      </w:r>
      <w:r w:rsidRPr="00AF22D7">
        <w:rPr>
          <w:b/>
          <w:bCs/>
          <w:vertAlign w:val="subscript"/>
        </w:rPr>
        <w:t>sb</w:t>
      </w:r>
      <w:r>
        <w:rPr>
          <w:b/>
          <w:bCs/>
        </w:rPr>
        <w:t>).</w:t>
      </w:r>
      <w:r>
        <w:rPr>
          <w:bCs/>
        </w:rPr>
        <w:t xml:space="preserve"> </w:t>
      </w:r>
      <w:r w:rsidRPr="007F72EF">
        <w:rPr>
          <w:bCs/>
        </w:rPr>
        <w:t>The Contractor’s coarse and fine G</w:t>
      </w:r>
      <w:r w:rsidRPr="007F72EF">
        <w:rPr>
          <w:bCs/>
          <w:vertAlign w:val="subscript"/>
        </w:rPr>
        <w:t>sb</w:t>
      </w:r>
      <w:r w:rsidRPr="007F72EF">
        <w:rPr>
          <w:bCs/>
        </w:rPr>
        <w:t xml:space="preserve"> is verified if the CO’s results are within 0.038 for AASHTO T 85 and 0.066 for AASHTO T 84.</w:t>
      </w:r>
    </w:p>
    <w:p w14:paraId="0E27930D" w14:textId="20306EEB" w:rsidR="00C847F2" w:rsidRPr="004E4337" w:rsidRDefault="00C847F2" w:rsidP="006858D1">
      <w:pPr>
        <w:pStyle w:val="BodyText"/>
        <w:ind w:left="720"/>
        <w:rPr>
          <w:bCs/>
        </w:rPr>
      </w:pPr>
      <w:r>
        <w:rPr>
          <w:b/>
          <w:bCs/>
        </w:rPr>
        <w:t xml:space="preserve">(4) </w:t>
      </w:r>
      <w:r w:rsidRPr="00730644">
        <w:rPr>
          <w:b/>
          <w:bCs/>
        </w:rPr>
        <w:t>V</w:t>
      </w:r>
      <w:r>
        <w:rPr>
          <w:b/>
          <w:bCs/>
        </w:rPr>
        <w:t>MA.</w:t>
      </w:r>
      <w:r>
        <w:rPr>
          <w:bCs/>
        </w:rPr>
        <w:t xml:space="preserve"> The Contractor’s VMA is verified if the CO’s result is within the specification limit in Table 401-1.</w:t>
      </w:r>
    </w:p>
    <w:p w14:paraId="1F4121E2" w14:textId="069E7C7F" w:rsidR="00C847F2" w:rsidRPr="001A160D" w:rsidRDefault="006858D1" w:rsidP="006858D1">
      <w:pPr>
        <w:pStyle w:val="BodyText"/>
        <w:ind w:left="360"/>
        <w:rPr>
          <w:bCs/>
          <w:u w:val="single"/>
        </w:rPr>
      </w:pPr>
      <w:r>
        <w:rPr>
          <w:b/>
        </w:rPr>
        <w:t>(e</w:t>
      </w:r>
      <w:r w:rsidRPr="008E1BD3">
        <w:rPr>
          <w:b/>
        </w:rPr>
        <w:t xml:space="preserve">) </w:t>
      </w:r>
      <w:r w:rsidRPr="00730644">
        <w:rPr>
          <w:b/>
        </w:rPr>
        <w:t>Verification</w:t>
      </w:r>
      <w:r w:rsidRPr="008E1BD3">
        <w:rPr>
          <w:b/>
        </w:rPr>
        <w:t>.</w:t>
      </w:r>
      <w:r>
        <w:t xml:space="preserve"> </w:t>
      </w:r>
      <w:r w:rsidR="00C847F2" w:rsidRPr="001A160D">
        <w:rPr>
          <w:u w:val="single"/>
        </w:rPr>
        <w:t>Add the following:</w:t>
      </w:r>
    </w:p>
    <w:p w14:paraId="20BD8B82" w14:textId="1D42B870" w:rsidR="00C847F2" w:rsidRDefault="00C847F2" w:rsidP="006858D1">
      <w:pPr>
        <w:pStyle w:val="BodyText"/>
        <w:ind w:left="720"/>
      </w:pPr>
      <w:r>
        <w:rPr>
          <w:b/>
        </w:rPr>
        <w:t>(8</w:t>
      </w:r>
      <w:r w:rsidRPr="00BA4B55">
        <w:rPr>
          <w:b/>
        </w:rPr>
        <w:t xml:space="preserve">) </w:t>
      </w:r>
      <w:r w:rsidRPr="00730644">
        <w:rPr>
          <w:b/>
          <w:bCs/>
        </w:rPr>
        <w:t>Hveem</w:t>
      </w:r>
      <w:r>
        <w:rPr>
          <w:b/>
        </w:rPr>
        <w:t xml:space="preserve"> stabilometer value</w:t>
      </w:r>
      <w:r>
        <w:t>. The Contractor’s Hveem stabilometer value is verified if the CO’s result is above the minimum specification of 30.</w:t>
      </w:r>
    </w:p>
    <w:p w14:paraId="229DBABE" w14:textId="4FB955BB" w:rsidR="00C847F2" w:rsidRDefault="00C847F2" w:rsidP="001A160D">
      <w:pPr>
        <w:pStyle w:val="BodyText"/>
      </w:pPr>
      <w:r w:rsidRPr="001A160D">
        <w:rPr>
          <w:b/>
          <w:bCs/>
        </w:rPr>
        <w:t>Table 401-1 Gyratory Asphalt Concrete Mix Design Requirements, AASHTO R 35.</w:t>
      </w:r>
      <w:r>
        <w:t xml:space="preserve"> </w:t>
      </w:r>
      <w:r w:rsidRPr="00CB5756">
        <w:rPr>
          <w:u w:val="single"/>
        </w:rPr>
        <w:t>Add the following note:</w:t>
      </w:r>
    </w:p>
    <w:p w14:paraId="1811CD90" w14:textId="7D1BEDA8" w:rsidR="00C847F2" w:rsidRPr="008B7120" w:rsidRDefault="00C847F2" w:rsidP="001A160D">
      <w:pPr>
        <w:pStyle w:val="BodyText"/>
      </w:pPr>
      <w:r>
        <w:t>(</w:t>
      </w:r>
      <w:r w:rsidR="0065199E">
        <w:t>5</w:t>
      </w:r>
      <w:r>
        <w:t>) For AASHTO T 283, use 4-inch diameter specimens. Note that AASHTO T 283 requires a freeze-thaw cycle.</w:t>
      </w:r>
    </w:p>
    <w:p w14:paraId="24CC0680" w14:textId="6DC3800F" w:rsidR="00C847F2" w:rsidRPr="00C847F2" w:rsidRDefault="00C847F2" w:rsidP="001A160D">
      <w:pPr>
        <w:pStyle w:val="BodyText"/>
      </w:pPr>
      <w:r w:rsidRPr="001A160D">
        <w:rPr>
          <w:b/>
          <w:bCs/>
        </w:rPr>
        <w:t>401.15 Joints, Trimming Edges, and Cleanup.</w:t>
      </w:r>
      <w:r w:rsidRPr="00C847F2">
        <w:t xml:space="preserve"> </w:t>
      </w:r>
      <w:r w:rsidRPr="00C847F2">
        <w:rPr>
          <w:u w:val="single"/>
        </w:rPr>
        <w:t>Add the following:</w:t>
      </w:r>
    </w:p>
    <w:p w14:paraId="422212D3" w14:textId="50B0566B" w:rsidR="00C847F2" w:rsidRPr="00C847F2" w:rsidRDefault="00C847F2" w:rsidP="001A160D">
      <w:pPr>
        <w:pStyle w:val="BodyText"/>
      </w:pPr>
      <w:r w:rsidRPr="00C847F2">
        <w:t>Make the longitudinal joint in the top layer at the centerline of the pavement on two-lane roadways or at the lane lines of roadways with more than two lanes</w:t>
      </w:r>
      <w:r w:rsidRPr="00C847F2">
        <w:rPr>
          <w:rFonts w:eastAsia="MS Mincho"/>
        </w:rPr>
        <w:t xml:space="preserve">. Establish the centerline of the pavement from recorded data defined in Subsection 152.05(b) or construction staking data if </w:t>
      </w:r>
      <w:r w:rsidR="008F0FEE">
        <w:rPr>
          <w:rFonts w:eastAsia="MS Mincho"/>
        </w:rPr>
        <w:t>furnish</w:t>
      </w:r>
      <w:r w:rsidRPr="00C847F2">
        <w:rPr>
          <w:rFonts w:eastAsia="MS Mincho"/>
        </w:rPr>
        <w:t xml:space="preserve">ed by the </w:t>
      </w:r>
      <w:r w:rsidR="00242392">
        <w:rPr>
          <w:rFonts w:eastAsia="MS Mincho"/>
        </w:rPr>
        <w:t>G</w:t>
      </w:r>
      <w:r w:rsidRPr="00C847F2">
        <w:rPr>
          <w:rFonts w:eastAsia="MS Mincho"/>
        </w:rPr>
        <w:t xml:space="preserve">overnment. </w:t>
      </w:r>
      <w:r w:rsidRPr="00C847F2">
        <w:t>Offset the longitudinal joint in the layer immediately below at least 6</w:t>
      </w:r>
      <w:r w:rsidR="00242392">
        <w:t xml:space="preserve"> </w:t>
      </w:r>
      <w:r w:rsidRPr="00C847F2">
        <w:t>inches from the joint.</w:t>
      </w:r>
    </w:p>
    <w:p w14:paraId="3038F694" w14:textId="1D6EFC53" w:rsidR="00C847F2" w:rsidRPr="00C847F2" w:rsidRDefault="00242392" w:rsidP="001A160D">
      <w:pPr>
        <w:pStyle w:val="BodyText"/>
        <w:rPr>
          <w:rFonts w:eastAsia="MS Mincho"/>
        </w:rPr>
      </w:pPr>
      <w:r>
        <w:rPr>
          <w:rFonts w:eastAsia="MS Mincho"/>
        </w:rPr>
        <w:t>S</w:t>
      </w:r>
      <w:r w:rsidR="00C847F2" w:rsidRPr="00C847F2">
        <w:rPr>
          <w:rFonts w:eastAsia="MS Mincho"/>
        </w:rPr>
        <w:t xml:space="preserve">ee the plans for </w:t>
      </w:r>
      <w:r>
        <w:rPr>
          <w:rFonts w:eastAsia="MS Mincho"/>
        </w:rPr>
        <w:t xml:space="preserve">curve widening </w:t>
      </w:r>
      <w:r w:rsidR="00C847F2" w:rsidRPr="00C847F2">
        <w:rPr>
          <w:rFonts w:eastAsia="MS Mincho"/>
        </w:rPr>
        <w:t xml:space="preserve">locations and details. For </w:t>
      </w:r>
      <w:r w:rsidR="00C847F2" w:rsidRPr="00C847F2">
        <w:t>two-lane roadways</w:t>
      </w:r>
      <w:r w:rsidR="00C847F2" w:rsidRPr="00C847F2">
        <w:rPr>
          <w:rFonts w:eastAsia="MS Mincho"/>
        </w:rPr>
        <w:t xml:space="preserve"> make the </w:t>
      </w:r>
      <w:r w:rsidR="00C847F2" w:rsidRPr="00C847F2">
        <w:t>longitudinal joint at the centerline of the pavement. Do not vary the shoulder width where curve widening exists.</w:t>
      </w:r>
    </w:p>
    <w:p w14:paraId="14586203" w14:textId="4293B807" w:rsidR="00C847F2" w:rsidRPr="00C847F2" w:rsidRDefault="00C847F2" w:rsidP="001A160D">
      <w:pPr>
        <w:pStyle w:val="BodyText"/>
      </w:pPr>
      <w:r w:rsidRPr="00C847F2">
        <w:lastRenderedPageBreak/>
        <w:t xml:space="preserve">At connections to existing pavements and previously placed lifts, make the transverse joints vertical to the depth of the new pavement. Form transverse joints by cutting back the previous run to expose the </w:t>
      </w:r>
      <w:r w:rsidR="00242392" w:rsidRPr="00C847F2">
        <w:t>full depth</w:t>
      </w:r>
      <w:r w:rsidRPr="00C847F2">
        <w:t xml:space="preserve"> of the course.</w:t>
      </w:r>
    </w:p>
    <w:p w14:paraId="4C4BB389" w14:textId="4D0F218C" w:rsidR="00D068FF" w:rsidRDefault="00C847F2" w:rsidP="001A160D">
      <w:pPr>
        <w:pStyle w:val="BodyText"/>
        <w:rPr>
          <w:color w:val="000000"/>
        </w:rPr>
      </w:pPr>
      <w:r w:rsidRPr="001A160D">
        <w:rPr>
          <w:b/>
          <w:bCs/>
          <w:color w:val="000000"/>
        </w:rPr>
        <w:t>401.16 Pavement Roughness.</w:t>
      </w:r>
      <w:r w:rsidRPr="00742317">
        <w:rPr>
          <w:color w:val="000000"/>
        </w:rPr>
        <w:t xml:space="preserve"> </w:t>
      </w:r>
      <w:r w:rsidR="00C0453E" w:rsidRPr="00C0453E">
        <w:rPr>
          <w:color w:val="000000"/>
          <w:u w:val="single"/>
        </w:rPr>
        <w:t xml:space="preserve">Add the following to </w:t>
      </w:r>
      <w:r w:rsidR="00D068FF" w:rsidRPr="00D068FF">
        <w:rPr>
          <w:color w:val="000000"/>
          <w:u w:val="single"/>
        </w:rPr>
        <w:t>the first paragraph</w:t>
      </w:r>
      <w:r w:rsidR="00C0453E">
        <w:rPr>
          <w:color w:val="000000"/>
          <w:u w:val="single"/>
        </w:rPr>
        <w:t>:</w:t>
      </w:r>
    </w:p>
    <w:p w14:paraId="77622329" w14:textId="215BF119" w:rsidR="00C847F2" w:rsidRDefault="00C847F2" w:rsidP="001A160D">
      <w:pPr>
        <w:pStyle w:val="BodyText"/>
      </w:pPr>
      <w:r w:rsidRPr="003A33E2">
        <w:t>Coordinate profiling operations with the CO. Export each profile (elevation, distance data, header, and marker information) in pavement profile format (ppf)</w:t>
      </w:r>
      <w:r>
        <w:t xml:space="preserve"> and format specific to the profiler manufacturer</w:t>
      </w:r>
      <w:r w:rsidRPr="003A33E2">
        <w:t xml:space="preserve"> to a CD or DVD and submit after profiling. Do not submit non-continuous data files.</w:t>
      </w:r>
    </w:p>
    <w:p w14:paraId="2D3968D2" w14:textId="6F7B7904" w:rsidR="00D068FF" w:rsidRDefault="00D068FF" w:rsidP="001A160D">
      <w:pPr>
        <w:pStyle w:val="BodyText"/>
        <w:rPr>
          <w:color w:val="000000"/>
        </w:rPr>
      </w:pPr>
      <w:r w:rsidRPr="001A160D">
        <w:rPr>
          <w:b/>
          <w:bCs/>
          <w:color w:val="000000"/>
        </w:rPr>
        <w:t>401.16</w:t>
      </w:r>
      <w:r w:rsidR="00C847F2" w:rsidRPr="001A160D">
        <w:rPr>
          <w:b/>
          <w:bCs/>
          <w:color w:val="000000"/>
        </w:rPr>
        <w:t>(</w:t>
      </w:r>
      <w:r w:rsidR="004A37EB" w:rsidRPr="001A160D">
        <w:rPr>
          <w:b/>
          <w:bCs/>
          <w:color w:val="000000"/>
        </w:rPr>
        <w:t>c</w:t>
      </w:r>
      <w:r w:rsidR="00C847F2" w:rsidRPr="001A160D">
        <w:rPr>
          <w:b/>
          <w:bCs/>
          <w:color w:val="000000"/>
        </w:rPr>
        <w:t>) Type III pavement roughness.</w:t>
      </w:r>
      <w:r w:rsidR="00C847F2" w:rsidRPr="00922521">
        <w:rPr>
          <w:color w:val="000000"/>
        </w:rPr>
        <w:t xml:space="preserve"> </w:t>
      </w:r>
      <w:r w:rsidRPr="00D068FF">
        <w:rPr>
          <w:color w:val="000000"/>
          <w:u w:val="single"/>
        </w:rPr>
        <w:t xml:space="preserve">Delete </w:t>
      </w:r>
      <w:r w:rsidR="0037491A">
        <w:rPr>
          <w:color w:val="000000"/>
          <w:u w:val="single"/>
        </w:rPr>
        <w:t>this</w:t>
      </w:r>
      <w:r w:rsidRPr="00D068FF">
        <w:rPr>
          <w:color w:val="000000"/>
          <w:u w:val="single"/>
        </w:rPr>
        <w:t xml:space="preserve"> Subsection and substitute the following:</w:t>
      </w:r>
    </w:p>
    <w:p w14:paraId="3E400D94" w14:textId="0FA6F778" w:rsidR="00C847F2" w:rsidRPr="00922521" w:rsidRDefault="00C847F2" w:rsidP="00C847F2">
      <w:pPr>
        <w:spacing w:before="240" w:after="240"/>
        <w:ind w:left="360"/>
        <w:jc w:val="both"/>
        <w:rPr>
          <w:rFonts w:ascii="Times New Roman" w:hAnsi="Times New Roman" w:cs="Times New Roman"/>
          <w:sz w:val="24"/>
          <w:szCs w:val="24"/>
        </w:rPr>
      </w:pPr>
      <w:r w:rsidRPr="00922521">
        <w:rPr>
          <w:rFonts w:ascii="Times New Roman" w:hAnsi="Times New Roman" w:cs="Times New Roman"/>
          <w:sz w:val="24"/>
          <w:szCs w:val="24"/>
        </w:rPr>
        <w:t xml:space="preserve">Measure the profile of the final pavement surface for payment. Measure the profile before placing a surface treatment and within </w:t>
      </w:r>
      <w:r w:rsidR="004A37EB">
        <w:rPr>
          <w:rFonts w:ascii="Times New Roman" w:hAnsi="Times New Roman" w:cs="Times New Roman"/>
          <w:sz w:val="24"/>
          <w:szCs w:val="24"/>
        </w:rPr>
        <w:t xml:space="preserve">21 </w:t>
      </w:r>
      <w:r w:rsidRPr="00922521">
        <w:rPr>
          <w:rFonts w:ascii="Times New Roman" w:hAnsi="Times New Roman" w:cs="Times New Roman"/>
          <w:sz w:val="24"/>
          <w:szCs w:val="24"/>
        </w:rPr>
        <w:t>days of completing roadway paving. No defective area corrections are allowed on the final pavement surface except at locations that do not meet Subsection 401.16(</w:t>
      </w:r>
      <w:r w:rsidR="00E56164">
        <w:rPr>
          <w:rFonts w:ascii="Times New Roman" w:hAnsi="Times New Roman" w:cs="Times New Roman"/>
          <w:sz w:val="24"/>
          <w:szCs w:val="24"/>
        </w:rPr>
        <w:t>d</w:t>
      </w:r>
      <w:r w:rsidRPr="00922521">
        <w:rPr>
          <w:rFonts w:ascii="Times New Roman" w:hAnsi="Times New Roman" w:cs="Times New Roman"/>
          <w:sz w:val="24"/>
          <w:szCs w:val="24"/>
        </w:rPr>
        <w:t>). Submit electronic files and the analysis to the CO for analysis. Correct locations that do not meet Subsection 401.16(</w:t>
      </w:r>
      <w:r w:rsidR="00E56164">
        <w:rPr>
          <w:rFonts w:ascii="Times New Roman" w:hAnsi="Times New Roman" w:cs="Times New Roman"/>
          <w:sz w:val="24"/>
          <w:szCs w:val="24"/>
        </w:rPr>
        <w:t>d</w:t>
      </w:r>
      <w:r w:rsidRPr="00922521">
        <w:rPr>
          <w:rFonts w:ascii="Times New Roman" w:hAnsi="Times New Roman" w:cs="Times New Roman"/>
          <w:sz w:val="24"/>
          <w:szCs w:val="24"/>
        </w:rPr>
        <w:t>) according to Subsection 401.</w:t>
      </w:r>
      <w:r w:rsidR="00D037C3">
        <w:rPr>
          <w:rFonts w:ascii="Times New Roman" w:hAnsi="Times New Roman" w:cs="Times New Roman"/>
          <w:sz w:val="24"/>
          <w:szCs w:val="24"/>
        </w:rPr>
        <w:t>17</w:t>
      </w:r>
      <w:r w:rsidRPr="00922521">
        <w:rPr>
          <w:rFonts w:ascii="Times New Roman" w:hAnsi="Times New Roman" w:cs="Times New Roman"/>
          <w:sz w:val="24"/>
          <w:szCs w:val="24"/>
        </w:rPr>
        <w:t>.</w:t>
      </w:r>
    </w:p>
    <w:p w14:paraId="3A55C1BB" w14:textId="5F2D412A" w:rsidR="00C847F2" w:rsidRPr="00922521" w:rsidRDefault="00C847F2" w:rsidP="00C847F2">
      <w:pPr>
        <w:spacing w:after="240"/>
        <w:ind w:left="360"/>
        <w:jc w:val="both"/>
        <w:rPr>
          <w:rFonts w:ascii="Times New Roman" w:hAnsi="Times New Roman" w:cs="Times New Roman"/>
          <w:sz w:val="24"/>
          <w:szCs w:val="24"/>
        </w:rPr>
      </w:pPr>
      <w:r w:rsidRPr="00922521">
        <w:rPr>
          <w:rFonts w:ascii="Times New Roman" w:hAnsi="Times New Roman" w:cs="Times New Roman"/>
          <w:sz w:val="24"/>
          <w:szCs w:val="24"/>
        </w:rPr>
        <w:t>Pay factors from Table 401-5 will be used in conjunction with the long continuous histogram printout from ProVAL’s Smoothness Assurance Analysis function u</w:t>
      </w:r>
      <w:r w:rsidR="00D068FF">
        <w:rPr>
          <w:rFonts w:ascii="Times New Roman" w:hAnsi="Times New Roman" w:cs="Times New Roman"/>
          <w:sz w:val="24"/>
          <w:szCs w:val="24"/>
        </w:rPr>
        <w:t>sing</w:t>
      </w:r>
      <w:r w:rsidRPr="00922521">
        <w:rPr>
          <w:rFonts w:ascii="Times New Roman" w:hAnsi="Times New Roman" w:cs="Times New Roman"/>
          <w:sz w:val="24"/>
          <w:szCs w:val="24"/>
        </w:rPr>
        <w:t xml:space="preserve"> a long continuous 528-foot segment length for analysis. The final PF</w:t>
      </w:r>
      <w:r w:rsidRPr="00922521">
        <w:rPr>
          <w:rFonts w:ascii="Times New Roman" w:hAnsi="Times New Roman" w:cs="Times New Roman"/>
          <w:sz w:val="24"/>
          <w:szCs w:val="24"/>
          <w:vertAlign w:val="subscript"/>
        </w:rPr>
        <w:t>rough</w:t>
      </w:r>
      <w:r w:rsidRPr="00922521">
        <w:rPr>
          <w:rFonts w:ascii="Times New Roman" w:hAnsi="Times New Roman" w:cs="Times New Roman"/>
          <w:sz w:val="24"/>
          <w:szCs w:val="24"/>
        </w:rPr>
        <w:t xml:space="preserve"> is equal to the sum of the products of the individual pay factors indicated in Table 401-5 multiplied by the ratio of individual lane miles to the overall project lane miles and by ProVAL’s corresponding histogram percentages, divided by 100. The final PF</w:t>
      </w:r>
      <w:r w:rsidRPr="00922521">
        <w:rPr>
          <w:rFonts w:ascii="Times New Roman" w:hAnsi="Times New Roman" w:cs="Times New Roman"/>
          <w:sz w:val="24"/>
          <w:szCs w:val="24"/>
          <w:vertAlign w:val="subscript"/>
        </w:rPr>
        <w:t>rough</w:t>
      </w:r>
      <w:r w:rsidRPr="00922521">
        <w:rPr>
          <w:rFonts w:ascii="Times New Roman" w:hAnsi="Times New Roman" w:cs="Times New Roman"/>
          <w:sz w:val="24"/>
          <w:szCs w:val="24"/>
        </w:rPr>
        <w:t xml:space="preserve"> will be determined to three decimal places.</w:t>
      </w:r>
    </w:p>
    <w:p w14:paraId="06F5EA0B" w14:textId="3475D4AF" w:rsidR="00C847F2" w:rsidRPr="00922521" w:rsidRDefault="00C847F2" w:rsidP="00C847F2">
      <w:pPr>
        <w:spacing w:after="240"/>
        <w:ind w:left="360"/>
        <w:jc w:val="both"/>
        <w:rPr>
          <w:rFonts w:ascii="Times New Roman" w:hAnsi="Times New Roman" w:cs="Times New Roman"/>
          <w:sz w:val="24"/>
          <w:szCs w:val="24"/>
        </w:rPr>
      </w:pPr>
      <w:r w:rsidRPr="00922521">
        <w:rPr>
          <w:rFonts w:ascii="Times New Roman" w:hAnsi="Times New Roman" w:cs="Times New Roman"/>
          <w:sz w:val="24"/>
          <w:szCs w:val="24"/>
        </w:rPr>
        <w:t xml:space="preserve">Lower paving lifts can be profiled to locate areas of localized roughness and estimate the final profile pay factor. Defective areas can be corrected on lower paving lifts according to </w:t>
      </w:r>
      <w:r w:rsidR="00D068FF">
        <w:rPr>
          <w:rFonts w:ascii="Times New Roman" w:hAnsi="Times New Roman" w:cs="Times New Roman"/>
          <w:sz w:val="24"/>
          <w:szCs w:val="24"/>
        </w:rPr>
        <w:t xml:space="preserve">Subsection </w:t>
      </w:r>
      <w:r w:rsidRPr="00922521">
        <w:rPr>
          <w:rFonts w:ascii="Times New Roman" w:hAnsi="Times New Roman" w:cs="Times New Roman"/>
          <w:sz w:val="24"/>
          <w:szCs w:val="24"/>
        </w:rPr>
        <w:t>401.1</w:t>
      </w:r>
      <w:r w:rsidR="00D037C3">
        <w:rPr>
          <w:rFonts w:ascii="Times New Roman" w:hAnsi="Times New Roman" w:cs="Times New Roman"/>
          <w:sz w:val="24"/>
          <w:szCs w:val="24"/>
        </w:rPr>
        <w:t>7</w:t>
      </w:r>
      <w:r w:rsidRPr="00922521">
        <w:rPr>
          <w:rFonts w:ascii="Times New Roman" w:hAnsi="Times New Roman" w:cs="Times New Roman"/>
          <w:sz w:val="24"/>
          <w:szCs w:val="24"/>
        </w:rPr>
        <w:t>.</w:t>
      </w:r>
    </w:p>
    <w:p w14:paraId="232069EF" w14:textId="3D6AE6B4" w:rsidR="00C847F2" w:rsidRDefault="00C847F2" w:rsidP="00C847F2">
      <w:pPr>
        <w:spacing w:after="240"/>
        <w:ind w:left="360"/>
        <w:jc w:val="both"/>
        <w:rPr>
          <w:rFonts w:ascii="Times New Roman" w:hAnsi="Times New Roman" w:cs="Times New Roman"/>
          <w:sz w:val="24"/>
          <w:szCs w:val="24"/>
        </w:rPr>
      </w:pPr>
      <w:r w:rsidRPr="00922521">
        <w:rPr>
          <w:rFonts w:ascii="Times New Roman" w:hAnsi="Times New Roman" w:cs="Times New Roman"/>
          <w:sz w:val="24"/>
          <w:szCs w:val="24"/>
        </w:rPr>
        <w:t>If the final roadway MRI for the entire traveled way is greater than the value shown in Table 401-5, place a minimum 1-inch overlay over the entire paved surface.</w:t>
      </w:r>
    </w:p>
    <w:p w14:paraId="49215BAF" w14:textId="6B2888CF" w:rsidR="008B7A1D" w:rsidRDefault="008B7A1D" w:rsidP="00B82C2B">
      <w:pPr>
        <w:spacing w:after="240"/>
        <w:jc w:val="both"/>
        <w:rPr>
          <w:rFonts w:ascii="Times New Roman" w:hAnsi="Times New Roman" w:cs="Times New Roman"/>
          <w:sz w:val="24"/>
          <w:szCs w:val="24"/>
          <w:u w:val="single"/>
        </w:rPr>
      </w:pPr>
      <w:r w:rsidRPr="008B7A1D">
        <w:rPr>
          <w:rFonts w:ascii="Times New Roman" w:hAnsi="Times New Roman" w:cs="Times New Roman"/>
          <w:sz w:val="24"/>
          <w:szCs w:val="24"/>
          <w:u w:val="single"/>
        </w:rPr>
        <w:t>Delete Tables 401-8 and 401-9 and substitute the following:</w:t>
      </w:r>
    </w:p>
    <w:p w14:paraId="0524F2DE" w14:textId="77777777" w:rsidR="008B7A1D" w:rsidRPr="00922521" w:rsidRDefault="008B7A1D" w:rsidP="008B7A1D">
      <w:pPr>
        <w:pStyle w:val="tableheaderfont10"/>
        <w:rPr>
          <w:color w:val="000000"/>
          <w:sz w:val="24"/>
          <w:szCs w:val="24"/>
        </w:rPr>
      </w:pPr>
      <w:r w:rsidRPr="00922521">
        <w:rPr>
          <w:color w:val="000000"/>
          <w:sz w:val="24"/>
          <w:szCs w:val="24"/>
        </w:rPr>
        <w:t>Table 401-</w:t>
      </w:r>
      <w:r>
        <w:rPr>
          <w:color w:val="000000"/>
          <w:sz w:val="24"/>
          <w:szCs w:val="24"/>
        </w:rPr>
        <w:t>8</w:t>
      </w:r>
    </w:p>
    <w:p w14:paraId="0D154C83" w14:textId="7585E7BE" w:rsidR="008B7A1D" w:rsidRPr="008B7A1D" w:rsidRDefault="008B7A1D" w:rsidP="008B7A1D">
      <w:pPr>
        <w:pStyle w:val="tableheaderfont10"/>
        <w:rPr>
          <w:color w:val="000000"/>
          <w:sz w:val="24"/>
          <w:szCs w:val="24"/>
        </w:rPr>
      </w:pPr>
      <w:r w:rsidRPr="00922521">
        <w:rPr>
          <w:color w:val="000000"/>
          <w:sz w:val="24"/>
          <w:szCs w:val="24"/>
        </w:rPr>
        <w:t>Type III Pavement Roughness Pay Factors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5" w:type="dxa"/>
          <w:right w:w="115" w:type="dxa"/>
        </w:tblCellMar>
        <w:tblLook w:val="00A0" w:firstRow="1" w:lastRow="0" w:firstColumn="1" w:lastColumn="0" w:noHBand="0" w:noVBand="0"/>
      </w:tblPr>
      <w:tblGrid>
        <w:gridCol w:w="3600"/>
        <w:gridCol w:w="3600"/>
        <w:gridCol w:w="1420"/>
      </w:tblGrid>
      <w:tr w:rsidR="00C847F2" w:rsidRPr="00922521" w14:paraId="1AF3A85F" w14:textId="77777777" w:rsidTr="0091065A">
        <w:trPr>
          <w:trHeight w:val="288"/>
          <w:tblHeader/>
          <w:jc w:val="center"/>
        </w:trPr>
        <w:tc>
          <w:tcPr>
            <w:tcW w:w="3600" w:type="dxa"/>
            <w:vAlign w:val="center"/>
          </w:tcPr>
          <w:p w14:paraId="556F09B3" w14:textId="77777777" w:rsidR="00C847F2" w:rsidRPr="00922521" w:rsidRDefault="00C847F2" w:rsidP="009E06F4">
            <w:pPr>
              <w:pStyle w:val="table10text"/>
              <w:jc w:val="center"/>
              <w:rPr>
                <w:b/>
                <w:color w:val="000000"/>
              </w:rPr>
            </w:pPr>
            <w:r w:rsidRPr="00922521">
              <w:rPr>
                <w:b/>
                <w:color w:val="000000"/>
              </w:rPr>
              <w:t>Mean Roughness Index</w:t>
            </w:r>
          </w:p>
          <w:p w14:paraId="1FD3F0F8" w14:textId="77777777" w:rsidR="00C847F2" w:rsidRPr="00922521" w:rsidRDefault="00C847F2" w:rsidP="009E06F4">
            <w:pPr>
              <w:pStyle w:val="table10text"/>
              <w:jc w:val="center"/>
              <w:rPr>
                <w:b/>
                <w:color w:val="000000"/>
              </w:rPr>
            </w:pPr>
            <w:r w:rsidRPr="00922521">
              <w:rPr>
                <w:b/>
                <w:color w:val="000000"/>
              </w:rPr>
              <w:t>(MRI)</w:t>
            </w:r>
          </w:p>
          <w:p w14:paraId="6C23637D" w14:textId="29349297" w:rsidR="00C847F2" w:rsidRPr="00922521" w:rsidRDefault="00C847F2" w:rsidP="00D068FF">
            <w:pPr>
              <w:pStyle w:val="table10text"/>
              <w:jc w:val="center"/>
              <w:rPr>
                <w:b/>
                <w:color w:val="000000"/>
              </w:rPr>
            </w:pPr>
            <w:r w:rsidRPr="00922521">
              <w:rPr>
                <w:b/>
                <w:color w:val="000000"/>
              </w:rPr>
              <w:t>Type III-A</w:t>
            </w:r>
            <w:r w:rsidR="00D068FF">
              <w:rPr>
                <w:b/>
                <w:color w:val="000000"/>
              </w:rPr>
              <w:t>, inch/mile</w:t>
            </w:r>
          </w:p>
        </w:tc>
        <w:tc>
          <w:tcPr>
            <w:tcW w:w="3600" w:type="dxa"/>
            <w:vAlign w:val="center"/>
          </w:tcPr>
          <w:p w14:paraId="24ACA281" w14:textId="77777777" w:rsidR="00C847F2" w:rsidRPr="00922521" w:rsidRDefault="00C847F2" w:rsidP="009E06F4">
            <w:pPr>
              <w:pStyle w:val="table10text"/>
              <w:jc w:val="center"/>
              <w:rPr>
                <w:b/>
                <w:color w:val="000000"/>
              </w:rPr>
            </w:pPr>
            <w:r w:rsidRPr="00922521">
              <w:rPr>
                <w:b/>
                <w:color w:val="000000"/>
              </w:rPr>
              <w:t>Mean Roughness Index</w:t>
            </w:r>
          </w:p>
          <w:p w14:paraId="0DE2FE84" w14:textId="77777777" w:rsidR="00C847F2" w:rsidRPr="00922521" w:rsidRDefault="00C847F2" w:rsidP="009E06F4">
            <w:pPr>
              <w:pStyle w:val="table10text"/>
              <w:jc w:val="center"/>
              <w:rPr>
                <w:b/>
                <w:color w:val="000000"/>
              </w:rPr>
            </w:pPr>
            <w:r w:rsidRPr="00922521">
              <w:rPr>
                <w:b/>
                <w:color w:val="000000"/>
              </w:rPr>
              <w:t>(MRI)</w:t>
            </w:r>
          </w:p>
          <w:p w14:paraId="47670512" w14:textId="26DAE0F3" w:rsidR="00C847F2" w:rsidRPr="00922521" w:rsidRDefault="00C847F2" w:rsidP="00D068FF">
            <w:pPr>
              <w:pStyle w:val="table10text"/>
              <w:jc w:val="center"/>
              <w:rPr>
                <w:b/>
                <w:color w:val="000000"/>
              </w:rPr>
            </w:pPr>
            <w:r w:rsidRPr="00922521">
              <w:rPr>
                <w:b/>
                <w:color w:val="000000"/>
              </w:rPr>
              <w:t>Type III-B</w:t>
            </w:r>
            <w:r w:rsidR="00D068FF">
              <w:rPr>
                <w:b/>
                <w:color w:val="000000"/>
              </w:rPr>
              <w:t>, inch/mile</w:t>
            </w:r>
          </w:p>
        </w:tc>
        <w:tc>
          <w:tcPr>
            <w:tcW w:w="1420" w:type="dxa"/>
            <w:vAlign w:val="center"/>
          </w:tcPr>
          <w:p w14:paraId="563A6B8A" w14:textId="77777777" w:rsidR="00C847F2" w:rsidRPr="00922521" w:rsidRDefault="00C847F2" w:rsidP="009E06F4">
            <w:pPr>
              <w:pStyle w:val="table10text"/>
              <w:jc w:val="center"/>
              <w:rPr>
                <w:b/>
                <w:color w:val="000000"/>
              </w:rPr>
            </w:pPr>
            <w:r w:rsidRPr="00922521">
              <w:rPr>
                <w:b/>
                <w:color w:val="000000"/>
              </w:rPr>
              <w:t>Pay Factor</w:t>
            </w:r>
          </w:p>
          <w:p w14:paraId="1A3C6B78" w14:textId="77777777" w:rsidR="00C847F2" w:rsidRPr="00922521" w:rsidRDefault="00C847F2" w:rsidP="009E06F4">
            <w:pPr>
              <w:pStyle w:val="table10text"/>
              <w:jc w:val="center"/>
              <w:rPr>
                <w:b/>
                <w:color w:val="000000"/>
              </w:rPr>
            </w:pPr>
            <w:r w:rsidRPr="00922521">
              <w:rPr>
                <w:b/>
                <w:color w:val="000000"/>
              </w:rPr>
              <w:t>(PF</w:t>
            </w:r>
            <w:r w:rsidRPr="00922521">
              <w:rPr>
                <w:b/>
                <w:color w:val="000000"/>
                <w:vertAlign w:val="subscript"/>
              </w:rPr>
              <w:t>rough</w:t>
            </w:r>
            <w:r w:rsidRPr="00922521">
              <w:rPr>
                <w:b/>
                <w:color w:val="000000"/>
              </w:rPr>
              <w:t>)</w:t>
            </w:r>
          </w:p>
        </w:tc>
      </w:tr>
      <w:tr w:rsidR="00C847F2" w:rsidRPr="003A33E2" w14:paraId="19D7FE38" w14:textId="77777777" w:rsidTr="008B7A1D">
        <w:trPr>
          <w:trHeight w:val="288"/>
          <w:jc w:val="center"/>
        </w:trPr>
        <w:tc>
          <w:tcPr>
            <w:tcW w:w="3600" w:type="dxa"/>
            <w:vAlign w:val="center"/>
          </w:tcPr>
          <w:p w14:paraId="108F0CD2" w14:textId="77777777" w:rsidR="00C847F2" w:rsidRPr="00AC189E" w:rsidRDefault="00C847F2" w:rsidP="009E06F4">
            <w:pPr>
              <w:pStyle w:val="table10text"/>
              <w:jc w:val="center"/>
              <w:rPr>
                <w:color w:val="000000"/>
              </w:rPr>
            </w:pPr>
            <w:r w:rsidRPr="00AC189E">
              <w:rPr>
                <w:color w:val="000000"/>
              </w:rPr>
              <w:t>Localized roughness threshold</w:t>
            </w:r>
          </w:p>
          <w:p w14:paraId="5AEB92A1" w14:textId="185866FD" w:rsidR="00C847F2" w:rsidRPr="00AC189E" w:rsidRDefault="00C847F2" w:rsidP="009E06F4">
            <w:pPr>
              <w:pStyle w:val="table10text"/>
              <w:jc w:val="center"/>
              <w:rPr>
                <w:color w:val="000000"/>
              </w:rPr>
            </w:pPr>
            <w:r w:rsidRPr="00AC189E">
              <w:rPr>
                <w:color w:val="000000"/>
              </w:rPr>
              <w:t>170 in</w:t>
            </w:r>
            <w:r w:rsidR="00D068FF">
              <w:rPr>
                <w:color w:val="000000"/>
              </w:rPr>
              <w:t>ch</w:t>
            </w:r>
            <w:r w:rsidRPr="00AC189E">
              <w:rPr>
                <w:color w:val="000000"/>
              </w:rPr>
              <w:t>/mi</w:t>
            </w:r>
            <w:r w:rsidR="00D068FF">
              <w:rPr>
                <w:color w:val="000000"/>
              </w:rPr>
              <w:t>le</w:t>
            </w:r>
          </w:p>
        </w:tc>
        <w:tc>
          <w:tcPr>
            <w:tcW w:w="3600" w:type="dxa"/>
            <w:vAlign w:val="center"/>
          </w:tcPr>
          <w:p w14:paraId="1A650920" w14:textId="77777777" w:rsidR="00C847F2" w:rsidRPr="00AC189E" w:rsidRDefault="00C847F2" w:rsidP="009E06F4">
            <w:pPr>
              <w:pStyle w:val="table10text"/>
              <w:jc w:val="center"/>
              <w:rPr>
                <w:color w:val="000000"/>
              </w:rPr>
            </w:pPr>
            <w:r w:rsidRPr="00AC189E">
              <w:rPr>
                <w:color w:val="000000"/>
              </w:rPr>
              <w:t>Localized roughness threshold</w:t>
            </w:r>
          </w:p>
          <w:p w14:paraId="311BD3E9" w14:textId="4AFE9B3A" w:rsidR="00C847F2" w:rsidRPr="00AC189E" w:rsidRDefault="00C847F2" w:rsidP="009E06F4">
            <w:pPr>
              <w:pStyle w:val="table10text"/>
              <w:jc w:val="center"/>
              <w:rPr>
                <w:color w:val="000000"/>
              </w:rPr>
            </w:pPr>
            <w:r w:rsidRPr="00AC189E">
              <w:rPr>
                <w:color w:val="000000"/>
              </w:rPr>
              <w:t>190 in</w:t>
            </w:r>
            <w:r w:rsidR="00D068FF">
              <w:rPr>
                <w:color w:val="000000"/>
              </w:rPr>
              <w:t>ch</w:t>
            </w:r>
            <w:r w:rsidRPr="00AC189E">
              <w:rPr>
                <w:color w:val="000000"/>
              </w:rPr>
              <w:t>/mi</w:t>
            </w:r>
            <w:r w:rsidR="00D068FF">
              <w:rPr>
                <w:color w:val="000000"/>
              </w:rPr>
              <w:t>le</w:t>
            </w:r>
          </w:p>
        </w:tc>
        <w:tc>
          <w:tcPr>
            <w:tcW w:w="1420" w:type="dxa"/>
            <w:vAlign w:val="center"/>
          </w:tcPr>
          <w:p w14:paraId="139D6FD5" w14:textId="77777777" w:rsidR="00C847F2" w:rsidRPr="00AC189E" w:rsidRDefault="00C847F2" w:rsidP="009E06F4">
            <w:pPr>
              <w:pStyle w:val="table10text"/>
              <w:jc w:val="center"/>
              <w:rPr>
                <w:color w:val="000000"/>
              </w:rPr>
            </w:pPr>
          </w:p>
        </w:tc>
      </w:tr>
      <w:tr w:rsidR="00C847F2" w:rsidRPr="003A33E2" w14:paraId="30EDC3CC" w14:textId="77777777" w:rsidTr="008B7A1D">
        <w:trPr>
          <w:trHeight w:val="288"/>
          <w:jc w:val="center"/>
        </w:trPr>
        <w:tc>
          <w:tcPr>
            <w:tcW w:w="3600" w:type="dxa"/>
            <w:vAlign w:val="center"/>
          </w:tcPr>
          <w:p w14:paraId="0E407AE5" w14:textId="77777777" w:rsidR="00C847F2" w:rsidRPr="00AC189E" w:rsidRDefault="00C847F2" w:rsidP="009E06F4">
            <w:pPr>
              <w:pStyle w:val="table10text"/>
              <w:jc w:val="center"/>
              <w:rPr>
                <w:color w:val="000000"/>
              </w:rPr>
            </w:pPr>
            <w:r w:rsidRPr="00AC189E">
              <w:rPr>
                <w:color w:val="000000"/>
              </w:rPr>
              <w:t>If MRI of entire roadway</w:t>
            </w:r>
          </w:p>
          <w:p w14:paraId="5AB760C8" w14:textId="77777777" w:rsidR="00C847F2" w:rsidRPr="00AC189E" w:rsidRDefault="00C847F2" w:rsidP="009E06F4">
            <w:pPr>
              <w:pStyle w:val="table10text"/>
              <w:jc w:val="center"/>
              <w:rPr>
                <w:color w:val="000000"/>
              </w:rPr>
            </w:pPr>
            <w:r w:rsidRPr="00AC189E">
              <w:rPr>
                <w:color w:val="000000"/>
              </w:rPr>
              <w:t>is greater than</w:t>
            </w:r>
          </w:p>
          <w:p w14:paraId="4808BE55" w14:textId="32205799" w:rsidR="00C847F2" w:rsidRPr="00AC189E" w:rsidRDefault="00C847F2" w:rsidP="009E06F4">
            <w:pPr>
              <w:pStyle w:val="table10text"/>
              <w:jc w:val="center"/>
              <w:rPr>
                <w:color w:val="000000"/>
              </w:rPr>
            </w:pPr>
            <w:r w:rsidRPr="00AC189E">
              <w:rPr>
                <w:color w:val="000000"/>
              </w:rPr>
              <w:t>125 in</w:t>
            </w:r>
            <w:r w:rsidR="00D068FF">
              <w:rPr>
                <w:color w:val="000000"/>
              </w:rPr>
              <w:t>ch</w:t>
            </w:r>
            <w:r w:rsidRPr="00AC189E">
              <w:rPr>
                <w:color w:val="000000"/>
              </w:rPr>
              <w:t>/mi</w:t>
            </w:r>
            <w:r w:rsidR="00D068FF">
              <w:rPr>
                <w:color w:val="000000"/>
              </w:rPr>
              <w:t>le</w:t>
            </w:r>
          </w:p>
        </w:tc>
        <w:tc>
          <w:tcPr>
            <w:tcW w:w="3600" w:type="dxa"/>
            <w:vAlign w:val="center"/>
          </w:tcPr>
          <w:p w14:paraId="127AAF61" w14:textId="77777777" w:rsidR="00C847F2" w:rsidRPr="00AC189E" w:rsidRDefault="00C847F2" w:rsidP="009E06F4">
            <w:pPr>
              <w:pStyle w:val="table10text"/>
              <w:jc w:val="center"/>
              <w:rPr>
                <w:color w:val="000000"/>
              </w:rPr>
            </w:pPr>
            <w:r w:rsidRPr="00AC189E">
              <w:rPr>
                <w:color w:val="000000"/>
              </w:rPr>
              <w:t>If MRI of entire roadway</w:t>
            </w:r>
          </w:p>
          <w:p w14:paraId="07A6D051" w14:textId="77777777" w:rsidR="00C847F2" w:rsidRPr="00AC189E" w:rsidRDefault="00C847F2" w:rsidP="009E06F4">
            <w:pPr>
              <w:pStyle w:val="table10text"/>
              <w:jc w:val="center"/>
              <w:rPr>
                <w:color w:val="000000"/>
              </w:rPr>
            </w:pPr>
            <w:r w:rsidRPr="00AC189E">
              <w:rPr>
                <w:color w:val="000000"/>
              </w:rPr>
              <w:t>is greater than</w:t>
            </w:r>
          </w:p>
          <w:p w14:paraId="2592701F" w14:textId="409ACE1C" w:rsidR="00C847F2" w:rsidRPr="00AC189E" w:rsidRDefault="00C847F2" w:rsidP="009E06F4">
            <w:pPr>
              <w:pStyle w:val="table10text"/>
              <w:jc w:val="center"/>
              <w:rPr>
                <w:color w:val="000000"/>
              </w:rPr>
            </w:pPr>
            <w:r>
              <w:rPr>
                <w:color w:val="000000"/>
              </w:rPr>
              <w:t>140 in</w:t>
            </w:r>
            <w:r w:rsidR="00D068FF">
              <w:rPr>
                <w:color w:val="000000"/>
              </w:rPr>
              <w:t>ch</w:t>
            </w:r>
            <w:r>
              <w:rPr>
                <w:color w:val="000000"/>
              </w:rPr>
              <w:t>/mi</w:t>
            </w:r>
            <w:r w:rsidR="00D068FF">
              <w:rPr>
                <w:color w:val="000000"/>
              </w:rPr>
              <w:t>le</w:t>
            </w:r>
          </w:p>
        </w:tc>
        <w:tc>
          <w:tcPr>
            <w:tcW w:w="1420" w:type="dxa"/>
            <w:vAlign w:val="center"/>
          </w:tcPr>
          <w:p w14:paraId="7DE40DAE" w14:textId="77777777" w:rsidR="00C847F2" w:rsidRPr="00AC189E" w:rsidRDefault="00C847F2" w:rsidP="009E06F4">
            <w:pPr>
              <w:pStyle w:val="table10text"/>
              <w:jc w:val="center"/>
              <w:rPr>
                <w:color w:val="000000"/>
              </w:rPr>
            </w:pPr>
            <w:r>
              <w:rPr>
                <w:color w:val="000000"/>
              </w:rPr>
              <w:t>Correct with Overlay</w:t>
            </w:r>
          </w:p>
        </w:tc>
      </w:tr>
      <w:tr w:rsidR="00C847F2" w:rsidRPr="003A33E2" w14:paraId="77B617CD" w14:textId="77777777" w:rsidTr="008B7A1D">
        <w:trPr>
          <w:trHeight w:val="288"/>
          <w:jc w:val="center"/>
        </w:trPr>
        <w:tc>
          <w:tcPr>
            <w:tcW w:w="3600" w:type="dxa"/>
            <w:vAlign w:val="center"/>
          </w:tcPr>
          <w:p w14:paraId="2C7D3F0E" w14:textId="0AA35A65" w:rsidR="00C847F2" w:rsidRPr="00AC189E" w:rsidRDefault="00C847F2" w:rsidP="009E06F4">
            <w:pPr>
              <w:pStyle w:val="table10text"/>
              <w:jc w:val="center"/>
              <w:rPr>
                <w:color w:val="000000"/>
              </w:rPr>
            </w:pPr>
            <w:r w:rsidRPr="00AC189E">
              <w:rPr>
                <w:color w:val="000000"/>
              </w:rPr>
              <w:t>Greater than 95.0</w:t>
            </w:r>
          </w:p>
        </w:tc>
        <w:tc>
          <w:tcPr>
            <w:tcW w:w="3600" w:type="dxa"/>
            <w:vAlign w:val="center"/>
          </w:tcPr>
          <w:p w14:paraId="5BE8BCAC" w14:textId="41B82618" w:rsidR="00C847F2" w:rsidRPr="00AC189E" w:rsidRDefault="00C847F2" w:rsidP="009E06F4">
            <w:pPr>
              <w:pStyle w:val="table10text"/>
              <w:jc w:val="center"/>
              <w:rPr>
                <w:color w:val="000000"/>
              </w:rPr>
            </w:pPr>
            <w:r w:rsidRPr="00AC189E">
              <w:rPr>
                <w:color w:val="000000"/>
              </w:rPr>
              <w:t>Greater than 110.0</w:t>
            </w:r>
          </w:p>
        </w:tc>
        <w:tc>
          <w:tcPr>
            <w:tcW w:w="1420" w:type="dxa"/>
            <w:vAlign w:val="center"/>
          </w:tcPr>
          <w:p w14:paraId="0A9B025B" w14:textId="77777777" w:rsidR="00C847F2" w:rsidRPr="00AC189E" w:rsidRDefault="00C847F2" w:rsidP="009E06F4">
            <w:pPr>
              <w:pStyle w:val="table10text"/>
              <w:jc w:val="center"/>
              <w:rPr>
                <w:color w:val="000000"/>
              </w:rPr>
            </w:pPr>
            <w:r w:rsidRPr="00AC189E">
              <w:rPr>
                <w:color w:val="000000"/>
              </w:rPr>
              <w:t>0.700</w:t>
            </w:r>
          </w:p>
        </w:tc>
      </w:tr>
      <w:tr w:rsidR="00C847F2" w:rsidRPr="003A33E2" w14:paraId="3B76F23B" w14:textId="77777777" w:rsidTr="008B7A1D">
        <w:trPr>
          <w:trHeight w:val="288"/>
          <w:jc w:val="center"/>
        </w:trPr>
        <w:tc>
          <w:tcPr>
            <w:tcW w:w="3600" w:type="dxa"/>
            <w:vAlign w:val="center"/>
          </w:tcPr>
          <w:p w14:paraId="1FBBFCE6" w14:textId="7BDC5E06" w:rsidR="00C847F2" w:rsidRPr="00AC189E" w:rsidRDefault="00C847F2" w:rsidP="009E06F4">
            <w:pPr>
              <w:pStyle w:val="table10text"/>
              <w:jc w:val="center"/>
              <w:rPr>
                <w:color w:val="000000"/>
              </w:rPr>
            </w:pPr>
            <w:r w:rsidRPr="00AC189E">
              <w:rPr>
                <w:color w:val="000000"/>
              </w:rPr>
              <w:t xml:space="preserve">95.0 </w:t>
            </w:r>
            <w:r w:rsidR="00943C66">
              <w:rPr>
                <w:color w:val="000000"/>
              </w:rPr>
              <w:t>to</w:t>
            </w:r>
            <w:r w:rsidRPr="00AC189E">
              <w:rPr>
                <w:color w:val="000000"/>
              </w:rPr>
              <w:t xml:space="preserve"> 90.0</w:t>
            </w:r>
          </w:p>
        </w:tc>
        <w:tc>
          <w:tcPr>
            <w:tcW w:w="3600" w:type="dxa"/>
            <w:vAlign w:val="center"/>
          </w:tcPr>
          <w:p w14:paraId="09E1CCEA" w14:textId="1F3211C3" w:rsidR="00C847F2" w:rsidRPr="00AC189E" w:rsidRDefault="00C847F2" w:rsidP="009E06F4">
            <w:pPr>
              <w:pStyle w:val="table10text"/>
              <w:jc w:val="center"/>
              <w:rPr>
                <w:color w:val="000000"/>
              </w:rPr>
            </w:pPr>
            <w:r w:rsidRPr="00AC189E">
              <w:rPr>
                <w:color w:val="000000"/>
              </w:rPr>
              <w:t xml:space="preserve">110.0 </w:t>
            </w:r>
            <w:r w:rsidR="00943C66">
              <w:rPr>
                <w:color w:val="000000"/>
              </w:rPr>
              <w:t>to</w:t>
            </w:r>
            <w:r w:rsidRPr="00AC189E">
              <w:rPr>
                <w:color w:val="000000"/>
              </w:rPr>
              <w:t xml:space="preserve"> 105.0</w:t>
            </w:r>
          </w:p>
        </w:tc>
        <w:tc>
          <w:tcPr>
            <w:tcW w:w="1420" w:type="dxa"/>
            <w:vAlign w:val="center"/>
          </w:tcPr>
          <w:p w14:paraId="367ED9D1" w14:textId="77777777" w:rsidR="00C847F2" w:rsidRPr="00AC189E" w:rsidRDefault="00C847F2" w:rsidP="009E06F4">
            <w:pPr>
              <w:pStyle w:val="table10text"/>
              <w:jc w:val="center"/>
              <w:rPr>
                <w:color w:val="000000"/>
              </w:rPr>
            </w:pPr>
            <w:r w:rsidRPr="00AC189E">
              <w:rPr>
                <w:color w:val="000000"/>
              </w:rPr>
              <w:t>0.750</w:t>
            </w:r>
          </w:p>
        </w:tc>
      </w:tr>
      <w:tr w:rsidR="00C847F2" w:rsidRPr="003A33E2" w14:paraId="62679520" w14:textId="77777777" w:rsidTr="008B7A1D">
        <w:trPr>
          <w:trHeight w:val="288"/>
          <w:jc w:val="center"/>
        </w:trPr>
        <w:tc>
          <w:tcPr>
            <w:tcW w:w="3600" w:type="dxa"/>
            <w:vAlign w:val="center"/>
          </w:tcPr>
          <w:p w14:paraId="5D3789F6" w14:textId="4A24A1DC" w:rsidR="00C847F2" w:rsidRPr="00AC189E" w:rsidRDefault="00C847F2" w:rsidP="009E06F4">
            <w:pPr>
              <w:pStyle w:val="table10text"/>
              <w:jc w:val="center"/>
              <w:rPr>
                <w:color w:val="000000"/>
              </w:rPr>
            </w:pPr>
            <w:r w:rsidRPr="00AC189E">
              <w:rPr>
                <w:color w:val="000000"/>
              </w:rPr>
              <w:t xml:space="preserve">90.0 </w:t>
            </w:r>
            <w:r w:rsidR="00943C66">
              <w:rPr>
                <w:color w:val="000000"/>
              </w:rPr>
              <w:t>to</w:t>
            </w:r>
            <w:r w:rsidRPr="00AC189E">
              <w:rPr>
                <w:color w:val="000000"/>
              </w:rPr>
              <w:t xml:space="preserve"> 85.0</w:t>
            </w:r>
          </w:p>
        </w:tc>
        <w:tc>
          <w:tcPr>
            <w:tcW w:w="3600" w:type="dxa"/>
            <w:vAlign w:val="center"/>
          </w:tcPr>
          <w:p w14:paraId="36B49BFA" w14:textId="4AAEEA2D" w:rsidR="00C847F2" w:rsidRPr="00AC189E" w:rsidRDefault="00C847F2" w:rsidP="009E06F4">
            <w:pPr>
              <w:pStyle w:val="table10text"/>
              <w:jc w:val="center"/>
              <w:rPr>
                <w:color w:val="000000"/>
              </w:rPr>
            </w:pPr>
            <w:r w:rsidRPr="00AC189E">
              <w:rPr>
                <w:color w:val="000000"/>
              </w:rPr>
              <w:t xml:space="preserve">105.0 </w:t>
            </w:r>
            <w:r w:rsidR="00943C66">
              <w:rPr>
                <w:color w:val="000000"/>
              </w:rPr>
              <w:t>to</w:t>
            </w:r>
            <w:r w:rsidRPr="00AC189E">
              <w:rPr>
                <w:color w:val="000000"/>
              </w:rPr>
              <w:t xml:space="preserve"> 100.0</w:t>
            </w:r>
          </w:p>
        </w:tc>
        <w:tc>
          <w:tcPr>
            <w:tcW w:w="1420" w:type="dxa"/>
            <w:vAlign w:val="center"/>
          </w:tcPr>
          <w:p w14:paraId="49D09817" w14:textId="77777777" w:rsidR="00C847F2" w:rsidRPr="00AC189E" w:rsidRDefault="00C847F2" w:rsidP="009E06F4">
            <w:pPr>
              <w:pStyle w:val="table10text"/>
              <w:jc w:val="center"/>
              <w:rPr>
                <w:color w:val="000000"/>
              </w:rPr>
            </w:pPr>
            <w:r w:rsidRPr="00AC189E">
              <w:rPr>
                <w:color w:val="000000"/>
              </w:rPr>
              <w:t>0.800</w:t>
            </w:r>
          </w:p>
        </w:tc>
      </w:tr>
      <w:tr w:rsidR="00C847F2" w:rsidRPr="003A33E2" w14:paraId="46457B10" w14:textId="77777777" w:rsidTr="008B7A1D">
        <w:trPr>
          <w:trHeight w:val="288"/>
          <w:jc w:val="center"/>
        </w:trPr>
        <w:tc>
          <w:tcPr>
            <w:tcW w:w="3600" w:type="dxa"/>
            <w:vAlign w:val="center"/>
          </w:tcPr>
          <w:p w14:paraId="3AD0E69C" w14:textId="015731A5" w:rsidR="00C847F2" w:rsidRPr="00AC189E" w:rsidRDefault="00C847F2" w:rsidP="009E06F4">
            <w:pPr>
              <w:pStyle w:val="table10text"/>
              <w:jc w:val="center"/>
              <w:rPr>
                <w:color w:val="000000"/>
              </w:rPr>
            </w:pPr>
            <w:r w:rsidRPr="00AC189E">
              <w:rPr>
                <w:color w:val="000000"/>
              </w:rPr>
              <w:lastRenderedPageBreak/>
              <w:t xml:space="preserve">85.0 </w:t>
            </w:r>
            <w:r w:rsidR="00943C66">
              <w:rPr>
                <w:color w:val="000000"/>
              </w:rPr>
              <w:t>to</w:t>
            </w:r>
            <w:r w:rsidRPr="00AC189E">
              <w:rPr>
                <w:color w:val="000000"/>
              </w:rPr>
              <w:t xml:space="preserve"> 80.0</w:t>
            </w:r>
          </w:p>
        </w:tc>
        <w:tc>
          <w:tcPr>
            <w:tcW w:w="3600" w:type="dxa"/>
            <w:vAlign w:val="center"/>
          </w:tcPr>
          <w:p w14:paraId="7B2BBD6B" w14:textId="35A6A08B" w:rsidR="00C847F2" w:rsidRPr="00AC189E" w:rsidRDefault="00C847F2" w:rsidP="009E06F4">
            <w:pPr>
              <w:pStyle w:val="table10text"/>
              <w:jc w:val="center"/>
              <w:rPr>
                <w:color w:val="000000"/>
              </w:rPr>
            </w:pPr>
            <w:r w:rsidRPr="00AC189E">
              <w:rPr>
                <w:color w:val="000000"/>
              </w:rPr>
              <w:t xml:space="preserve">100.0 </w:t>
            </w:r>
            <w:r w:rsidR="00943C66">
              <w:rPr>
                <w:color w:val="000000"/>
              </w:rPr>
              <w:t>to</w:t>
            </w:r>
            <w:r w:rsidRPr="00AC189E">
              <w:rPr>
                <w:color w:val="000000"/>
              </w:rPr>
              <w:t xml:space="preserve"> 95.0</w:t>
            </w:r>
          </w:p>
        </w:tc>
        <w:tc>
          <w:tcPr>
            <w:tcW w:w="1420" w:type="dxa"/>
            <w:vAlign w:val="center"/>
          </w:tcPr>
          <w:p w14:paraId="580EAE67" w14:textId="77777777" w:rsidR="00C847F2" w:rsidRPr="00AC189E" w:rsidRDefault="00C847F2" w:rsidP="009E06F4">
            <w:pPr>
              <w:pStyle w:val="table10text"/>
              <w:jc w:val="center"/>
              <w:rPr>
                <w:color w:val="000000"/>
              </w:rPr>
            </w:pPr>
            <w:r w:rsidRPr="00AC189E">
              <w:rPr>
                <w:color w:val="000000"/>
              </w:rPr>
              <w:t>0.850</w:t>
            </w:r>
          </w:p>
        </w:tc>
      </w:tr>
      <w:tr w:rsidR="00C847F2" w:rsidRPr="003A33E2" w14:paraId="3B5884DD" w14:textId="77777777" w:rsidTr="008B7A1D">
        <w:trPr>
          <w:trHeight w:val="288"/>
          <w:jc w:val="center"/>
        </w:trPr>
        <w:tc>
          <w:tcPr>
            <w:tcW w:w="3600" w:type="dxa"/>
            <w:vAlign w:val="center"/>
          </w:tcPr>
          <w:p w14:paraId="728EDFE3" w14:textId="60A89CFA" w:rsidR="00C847F2" w:rsidRPr="00AC189E" w:rsidRDefault="00C847F2" w:rsidP="009E06F4">
            <w:pPr>
              <w:pStyle w:val="table10text"/>
              <w:jc w:val="center"/>
              <w:rPr>
                <w:color w:val="000000"/>
              </w:rPr>
            </w:pPr>
            <w:r w:rsidRPr="00AC189E">
              <w:rPr>
                <w:color w:val="000000"/>
              </w:rPr>
              <w:t xml:space="preserve">80.0 </w:t>
            </w:r>
            <w:r w:rsidR="00943C66">
              <w:rPr>
                <w:color w:val="000000"/>
              </w:rPr>
              <w:t>to</w:t>
            </w:r>
            <w:r w:rsidRPr="00AC189E">
              <w:rPr>
                <w:color w:val="000000"/>
              </w:rPr>
              <w:t xml:space="preserve"> 75.0</w:t>
            </w:r>
          </w:p>
        </w:tc>
        <w:tc>
          <w:tcPr>
            <w:tcW w:w="3600" w:type="dxa"/>
            <w:vAlign w:val="center"/>
          </w:tcPr>
          <w:p w14:paraId="6E3007D1" w14:textId="44A173F2" w:rsidR="00C847F2" w:rsidRPr="00AC189E" w:rsidRDefault="00C847F2" w:rsidP="009E06F4">
            <w:pPr>
              <w:pStyle w:val="table10text"/>
              <w:jc w:val="center"/>
              <w:rPr>
                <w:color w:val="000000"/>
              </w:rPr>
            </w:pPr>
            <w:r w:rsidRPr="00AC189E">
              <w:rPr>
                <w:color w:val="000000"/>
              </w:rPr>
              <w:t xml:space="preserve">95.0 </w:t>
            </w:r>
            <w:r w:rsidR="00943C66">
              <w:rPr>
                <w:color w:val="000000"/>
              </w:rPr>
              <w:t>to</w:t>
            </w:r>
            <w:r w:rsidRPr="00AC189E">
              <w:rPr>
                <w:color w:val="000000"/>
              </w:rPr>
              <w:t xml:space="preserve"> 90.0</w:t>
            </w:r>
          </w:p>
        </w:tc>
        <w:tc>
          <w:tcPr>
            <w:tcW w:w="1420" w:type="dxa"/>
            <w:vAlign w:val="center"/>
          </w:tcPr>
          <w:p w14:paraId="43A8BC9C" w14:textId="77777777" w:rsidR="00C847F2" w:rsidRPr="00AC189E" w:rsidRDefault="00C847F2" w:rsidP="009E06F4">
            <w:pPr>
              <w:pStyle w:val="table10text"/>
              <w:jc w:val="center"/>
              <w:rPr>
                <w:color w:val="000000"/>
              </w:rPr>
            </w:pPr>
            <w:r w:rsidRPr="00AC189E">
              <w:rPr>
                <w:color w:val="000000"/>
              </w:rPr>
              <w:t>0.900</w:t>
            </w:r>
          </w:p>
        </w:tc>
      </w:tr>
      <w:tr w:rsidR="00C847F2" w:rsidRPr="003A33E2" w14:paraId="79C65287" w14:textId="77777777" w:rsidTr="008B7A1D">
        <w:trPr>
          <w:trHeight w:val="288"/>
          <w:jc w:val="center"/>
        </w:trPr>
        <w:tc>
          <w:tcPr>
            <w:tcW w:w="3600" w:type="dxa"/>
            <w:vAlign w:val="center"/>
          </w:tcPr>
          <w:p w14:paraId="4DEDE41B" w14:textId="357B7857" w:rsidR="00C847F2" w:rsidRPr="00AC189E" w:rsidRDefault="00C847F2" w:rsidP="009E06F4">
            <w:pPr>
              <w:pStyle w:val="table10text"/>
              <w:jc w:val="center"/>
              <w:rPr>
                <w:color w:val="000000"/>
              </w:rPr>
            </w:pPr>
            <w:r w:rsidRPr="00AC189E">
              <w:rPr>
                <w:color w:val="000000"/>
              </w:rPr>
              <w:t xml:space="preserve">75.0 </w:t>
            </w:r>
            <w:r w:rsidR="00943C66">
              <w:rPr>
                <w:color w:val="000000"/>
              </w:rPr>
              <w:t>to</w:t>
            </w:r>
            <w:r w:rsidRPr="00AC189E">
              <w:rPr>
                <w:color w:val="000000"/>
              </w:rPr>
              <w:t xml:space="preserve"> 70.0</w:t>
            </w:r>
          </w:p>
        </w:tc>
        <w:tc>
          <w:tcPr>
            <w:tcW w:w="3600" w:type="dxa"/>
            <w:vAlign w:val="center"/>
          </w:tcPr>
          <w:p w14:paraId="3A54C723" w14:textId="7ADC8E1A" w:rsidR="00C847F2" w:rsidRPr="00AC189E" w:rsidRDefault="00C847F2" w:rsidP="009E06F4">
            <w:pPr>
              <w:pStyle w:val="table10text"/>
              <w:jc w:val="center"/>
              <w:rPr>
                <w:color w:val="000000"/>
              </w:rPr>
            </w:pPr>
            <w:r w:rsidRPr="00AC189E">
              <w:rPr>
                <w:color w:val="000000"/>
              </w:rPr>
              <w:t xml:space="preserve">90.0 </w:t>
            </w:r>
            <w:r w:rsidR="00943C66">
              <w:rPr>
                <w:color w:val="000000"/>
              </w:rPr>
              <w:t>to</w:t>
            </w:r>
            <w:r w:rsidRPr="00AC189E">
              <w:rPr>
                <w:color w:val="000000"/>
              </w:rPr>
              <w:t xml:space="preserve"> 85.0</w:t>
            </w:r>
          </w:p>
        </w:tc>
        <w:tc>
          <w:tcPr>
            <w:tcW w:w="1420" w:type="dxa"/>
            <w:vAlign w:val="center"/>
          </w:tcPr>
          <w:p w14:paraId="61684FB2" w14:textId="77777777" w:rsidR="00C847F2" w:rsidRPr="00AC189E" w:rsidRDefault="00C847F2" w:rsidP="009E06F4">
            <w:pPr>
              <w:pStyle w:val="table10text"/>
              <w:jc w:val="center"/>
              <w:rPr>
                <w:color w:val="000000"/>
              </w:rPr>
            </w:pPr>
            <w:r w:rsidRPr="00AC189E">
              <w:rPr>
                <w:color w:val="000000"/>
              </w:rPr>
              <w:t>0.950</w:t>
            </w:r>
          </w:p>
        </w:tc>
      </w:tr>
      <w:tr w:rsidR="00C847F2" w:rsidRPr="003A33E2" w14:paraId="7AC52541" w14:textId="77777777" w:rsidTr="008B7A1D">
        <w:trPr>
          <w:trHeight w:val="288"/>
          <w:jc w:val="center"/>
        </w:trPr>
        <w:tc>
          <w:tcPr>
            <w:tcW w:w="3600" w:type="dxa"/>
            <w:vAlign w:val="center"/>
          </w:tcPr>
          <w:p w14:paraId="4858F057" w14:textId="078FF606" w:rsidR="00C847F2" w:rsidRPr="00AC189E" w:rsidRDefault="00C847F2" w:rsidP="009E06F4">
            <w:pPr>
              <w:pStyle w:val="table10text"/>
              <w:jc w:val="center"/>
              <w:rPr>
                <w:color w:val="000000"/>
              </w:rPr>
            </w:pPr>
            <w:r w:rsidRPr="00AC189E">
              <w:rPr>
                <w:color w:val="000000"/>
              </w:rPr>
              <w:t xml:space="preserve">70.0 </w:t>
            </w:r>
            <w:r w:rsidR="00943C66">
              <w:rPr>
                <w:color w:val="000000"/>
              </w:rPr>
              <w:t>to</w:t>
            </w:r>
            <w:r w:rsidRPr="00AC189E">
              <w:rPr>
                <w:color w:val="000000"/>
              </w:rPr>
              <w:t xml:space="preserve"> 65.0</w:t>
            </w:r>
          </w:p>
        </w:tc>
        <w:tc>
          <w:tcPr>
            <w:tcW w:w="3600" w:type="dxa"/>
            <w:vAlign w:val="center"/>
          </w:tcPr>
          <w:p w14:paraId="170917A5" w14:textId="2D36FCD0" w:rsidR="00C847F2" w:rsidRPr="00AC189E" w:rsidRDefault="00C847F2" w:rsidP="009E06F4">
            <w:pPr>
              <w:pStyle w:val="table10text"/>
              <w:jc w:val="center"/>
              <w:rPr>
                <w:color w:val="000000"/>
              </w:rPr>
            </w:pPr>
            <w:r w:rsidRPr="00AC189E">
              <w:rPr>
                <w:color w:val="000000"/>
              </w:rPr>
              <w:t xml:space="preserve">85.0 </w:t>
            </w:r>
            <w:r w:rsidR="00943C66">
              <w:rPr>
                <w:color w:val="000000"/>
              </w:rPr>
              <w:t>to</w:t>
            </w:r>
            <w:r w:rsidRPr="00AC189E">
              <w:rPr>
                <w:color w:val="000000"/>
              </w:rPr>
              <w:t xml:space="preserve"> 80.0</w:t>
            </w:r>
          </w:p>
        </w:tc>
        <w:tc>
          <w:tcPr>
            <w:tcW w:w="1420" w:type="dxa"/>
            <w:vAlign w:val="center"/>
          </w:tcPr>
          <w:p w14:paraId="52DCC6D8" w14:textId="77777777" w:rsidR="00C847F2" w:rsidRPr="00AC189E" w:rsidRDefault="00C847F2" w:rsidP="009E06F4">
            <w:pPr>
              <w:pStyle w:val="table10text"/>
              <w:jc w:val="center"/>
              <w:rPr>
                <w:color w:val="000000"/>
              </w:rPr>
            </w:pPr>
            <w:r w:rsidRPr="00AC189E">
              <w:rPr>
                <w:color w:val="000000"/>
              </w:rPr>
              <w:t>0.970</w:t>
            </w:r>
          </w:p>
        </w:tc>
      </w:tr>
      <w:tr w:rsidR="00C847F2" w:rsidRPr="003A33E2" w14:paraId="2A4976E6" w14:textId="77777777" w:rsidTr="008B7A1D">
        <w:trPr>
          <w:trHeight w:val="288"/>
          <w:jc w:val="center"/>
        </w:trPr>
        <w:tc>
          <w:tcPr>
            <w:tcW w:w="3600" w:type="dxa"/>
            <w:vAlign w:val="center"/>
          </w:tcPr>
          <w:p w14:paraId="7833382E" w14:textId="686423B7" w:rsidR="00C847F2" w:rsidRPr="00AC189E" w:rsidRDefault="00C847F2" w:rsidP="009E06F4">
            <w:pPr>
              <w:pStyle w:val="table10text"/>
              <w:jc w:val="center"/>
              <w:rPr>
                <w:color w:val="000000"/>
              </w:rPr>
            </w:pPr>
            <w:r w:rsidRPr="00AC189E">
              <w:rPr>
                <w:color w:val="000000"/>
              </w:rPr>
              <w:t xml:space="preserve">65.0 </w:t>
            </w:r>
            <w:r w:rsidR="00943C66">
              <w:rPr>
                <w:color w:val="000000"/>
              </w:rPr>
              <w:t>to</w:t>
            </w:r>
            <w:r w:rsidRPr="00AC189E">
              <w:rPr>
                <w:color w:val="000000"/>
              </w:rPr>
              <w:t xml:space="preserve"> 60.0</w:t>
            </w:r>
          </w:p>
        </w:tc>
        <w:tc>
          <w:tcPr>
            <w:tcW w:w="3600" w:type="dxa"/>
            <w:vAlign w:val="center"/>
          </w:tcPr>
          <w:p w14:paraId="5FFF296E" w14:textId="02FAFF87" w:rsidR="00C847F2" w:rsidRPr="00AC189E" w:rsidRDefault="00C847F2" w:rsidP="009E06F4">
            <w:pPr>
              <w:pStyle w:val="table10text"/>
              <w:jc w:val="center"/>
              <w:rPr>
                <w:color w:val="000000"/>
              </w:rPr>
            </w:pPr>
            <w:r w:rsidRPr="00AC189E">
              <w:rPr>
                <w:color w:val="000000"/>
              </w:rPr>
              <w:t xml:space="preserve">80.0 </w:t>
            </w:r>
            <w:r w:rsidR="00943C66">
              <w:rPr>
                <w:color w:val="000000"/>
              </w:rPr>
              <w:t>to</w:t>
            </w:r>
            <w:r w:rsidRPr="00AC189E">
              <w:rPr>
                <w:color w:val="000000"/>
              </w:rPr>
              <w:t xml:space="preserve"> 75.0</w:t>
            </w:r>
          </w:p>
        </w:tc>
        <w:tc>
          <w:tcPr>
            <w:tcW w:w="1420" w:type="dxa"/>
            <w:vAlign w:val="center"/>
          </w:tcPr>
          <w:p w14:paraId="5AE55061" w14:textId="77777777" w:rsidR="00C847F2" w:rsidRPr="00AC189E" w:rsidRDefault="00C847F2" w:rsidP="009E06F4">
            <w:pPr>
              <w:pStyle w:val="table10text"/>
              <w:jc w:val="center"/>
              <w:rPr>
                <w:color w:val="000000"/>
              </w:rPr>
            </w:pPr>
            <w:r w:rsidRPr="00AC189E">
              <w:rPr>
                <w:color w:val="000000"/>
              </w:rPr>
              <w:t>1.000</w:t>
            </w:r>
          </w:p>
        </w:tc>
      </w:tr>
      <w:tr w:rsidR="00C847F2" w:rsidRPr="003A33E2" w14:paraId="522335EB" w14:textId="77777777" w:rsidTr="008B7A1D">
        <w:trPr>
          <w:trHeight w:val="288"/>
          <w:jc w:val="center"/>
        </w:trPr>
        <w:tc>
          <w:tcPr>
            <w:tcW w:w="3600" w:type="dxa"/>
            <w:vAlign w:val="center"/>
          </w:tcPr>
          <w:p w14:paraId="5F633157" w14:textId="528832E7" w:rsidR="00C847F2" w:rsidRPr="00AC189E" w:rsidRDefault="00C847F2" w:rsidP="009E06F4">
            <w:pPr>
              <w:pStyle w:val="table10text"/>
              <w:jc w:val="center"/>
              <w:rPr>
                <w:color w:val="000000"/>
              </w:rPr>
            </w:pPr>
            <w:r w:rsidRPr="00AC189E">
              <w:rPr>
                <w:color w:val="000000"/>
              </w:rPr>
              <w:t xml:space="preserve">60.0 </w:t>
            </w:r>
            <w:r w:rsidR="00943C66">
              <w:rPr>
                <w:color w:val="000000"/>
              </w:rPr>
              <w:t>to</w:t>
            </w:r>
            <w:r w:rsidRPr="00AC189E">
              <w:rPr>
                <w:color w:val="000000"/>
              </w:rPr>
              <w:t xml:space="preserve"> 55.0</w:t>
            </w:r>
          </w:p>
        </w:tc>
        <w:tc>
          <w:tcPr>
            <w:tcW w:w="3600" w:type="dxa"/>
            <w:vAlign w:val="center"/>
          </w:tcPr>
          <w:p w14:paraId="7B68C3FF" w14:textId="18A51653" w:rsidR="00C847F2" w:rsidRPr="00AC189E" w:rsidRDefault="00C847F2" w:rsidP="009E06F4">
            <w:pPr>
              <w:pStyle w:val="table10text"/>
              <w:jc w:val="center"/>
              <w:rPr>
                <w:color w:val="000000"/>
              </w:rPr>
            </w:pPr>
            <w:r w:rsidRPr="00AC189E">
              <w:rPr>
                <w:color w:val="000000"/>
              </w:rPr>
              <w:t xml:space="preserve">75.0 </w:t>
            </w:r>
            <w:r w:rsidR="00943C66">
              <w:rPr>
                <w:color w:val="000000"/>
              </w:rPr>
              <w:t>to</w:t>
            </w:r>
            <w:r w:rsidRPr="00AC189E">
              <w:rPr>
                <w:color w:val="000000"/>
              </w:rPr>
              <w:t xml:space="preserve"> 70.0</w:t>
            </w:r>
          </w:p>
        </w:tc>
        <w:tc>
          <w:tcPr>
            <w:tcW w:w="1420" w:type="dxa"/>
            <w:vAlign w:val="center"/>
          </w:tcPr>
          <w:p w14:paraId="7D341554" w14:textId="77777777" w:rsidR="00C847F2" w:rsidRPr="00AC189E" w:rsidRDefault="00C847F2" w:rsidP="009E06F4">
            <w:pPr>
              <w:pStyle w:val="table10text"/>
              <w:jc w:val="center"/>
              <w:rPr>
                <w:color w:val="000000"/>
              </w:rPr>
            </w:pPr>
            <w:r w:rsidRPr="00AC189E">
              <w:rPr>
                <w:color w:val="000000"/>
              </w:rPr>
              <w:t>1.010</w:t>
            </w:r>
          </w:p>
        </w:tc>
      </w:tr>
      <w:tr w:rsidR="00C847F2" w:rsidRPr="003A33E2" w14:paraId="51B7F343" w14:textId="77777777" w:rsidTr="008B7A1D">
        <w:trPr>
          <w:trHeight w:val="288"/>
          <w:jc w:val="center"/>
        </w:trPr>
        <w:tc>
          <w:tcPr>
            <w:tcW w:w="3600" w:type="dxa"/>
            <w:vAlign w:val="center"/>
          </w:tcPr>
          <w:p w14:paraId="2BD862B2" w14:textId="5B7DC824" w:rsidR="00C847F2" w:rsidRPr="00AC189E" w:rsidRDefault="00C847F2" w:rsidP="009E06F4">
            <w:pPr>
              <w:pStyle w:val="table10text"/>
              <w:jc w:val="center"/>
              <w:rPr>
                <w:color w:val="000000"/>
              </w:rPr>
            </w:pPr>
            <w:r w:rsidRPr="00AC189E">
              <w:rPr>
                <w:color w:val="000000"/>
              </w:rPr>
              <w:t xml:space="preserve">55.0 </w:t>
            </w:r>
            <w:r w:rsidR="00943C66">
              <w:rPr>
                <w:color w:val="000000"/>
              </w:rPr>
              <w:t>to</w:t>
            </w:r>
            <w:r w:rsidRPr="00AC189E">
              <w:rPr>
                <w:color w:val="000000"/>
              </w:rPr>
              <w:t xml:space="preserve"> 50.0</w:t>
            </w:r>
          </w:p>
        </w:tc>
        <w:tc>
          <w:tcPr>
            <w:tcW w:w="3600" w:type="dxa"/>
            <w:vAlign w:val="center"/>
          </w:tcPr>
          <w:p w14:paraId="274F16D7" w14:textId="71CD5700" w:rsidR="00C847F2" w:rsidRPr="00AC189E" w:rsidRDefault="00C847F2" w:rsidP="009E06F4">
            <w:pPr>
              <w:pStyle w:val="table10text"/>
              <w:jc w:val="center"/>
              <w:rPr>
                <w:color w:val="000000"/>
              </w:rPr>
            </w:pPr>
            <w:r w:rsidRPr="00AC189E">
              <w:rPr>
                <w:color w:val="000000"/>
              </w:rPr>
              <w:t xml:space="preserve">70.0 </w:t>
            </w:r>
            <w:r w:rsidR="00943C66">
              <w:rPr>
                <w:color w:val="000000"/>
              </w:rPr>
              <w:t>to</w:t>
            </w:r>
            <w:r w:rsidRPr="00AC189E">
              <w:rPr>
                <w:color w:val="000000"/>
              </w:rPr>
              <w:t xml:space="preserve"> 65.0</w:t>
            </w:r>
          </w:p>
        </w:tc>
        <w:tc>
          <w:tcPr>
            <w:tcW w:w="1420" w:type="dxa"/>
            <w:vAlign w:val="center"/>
          </w:tcPr>
          <w:p w14:paraId="202BF738" w14:textId="77777777" w:rsidR="00C847F2" w:rsidRPr="00AC189E" w:rsidRDefault="00C847F2" w:rsidP="009E06F4">
            <w:pPr>
              <w:pStyle w:val="table10text"/>
              <w:jc w:val="center"/>
              <w:rPr>
                <w:color w:val="000000"/>
              </w:rPr>
            </w:pPr>
            <w:r w:rsidRPr="00AC189E">
              <w:rPr>
                <w:color w:val="000000"/>
              </w:rPr>
              <w:t>1.020</w:t>
            </w:r>
          </w:p>
        </w:tc>
      </w:tr>
      <w:tr w:rsidR="00C847F2" w:rsidRPr="003A33E2" w14:paraId="768630EA" w14:textId="77777777" w:rsidTr="008B7A1D">
        <w:trPr>
          <w:trHeight w:val="288"/>
          <w:jc w:val="center"/>
        </w:trPr>
        <w:tc>
          <w:tcPr>
            <w:tcW w:w="3600" w:type="dxa"/>
            <w:vAlign w:val="center"/>
          </w:tcPr>
          <w:p w14:paraId="18FC3BF7" w14:textId="75EAAD05" w:rsidR="00C847F2" w:rsidRPr="00AC189E" w:rsidRDefault="00C847F2" w:rsidP="009E06F4">
            <w:pPr>
              <w:pStyle w:val="table10text"/>
              <w:jc w:val="center"/>
              <w:rPr>
                <w:color w:val="000000"/>
              </w:rPr>
            </w:pPr>
            <w:r w:rsidRPr="00AC189E">
              <w:rPr>
                <w:color w:val="000000"/>
              </w:rPr>
              <w:t xml:space="preserve">50.0 </w:t>
            </w:r>
            <w:r w:rsidR="00943C66">
              <w:rPr>
                <w:color w:val="000000"/>
              </w:rPr>
              <w:t>to</w:t>
            </w:r>
            <w:r w:rsidRPr="00AC189E">
              <w:rPr>
                <w:color w:val="000000"/>
              </w:rPr>
              <w:t xml:space="preserve"> 45.0</w:t>
            </w:r>
          </w:p>
        </w:tc>
        <w:tc>
          <w:tcPr>
            <w:tcW w:w="3600" w:type="dxa"/>
            <w:vAlign w:val="center"/>
          </w:tcPr>
          <w:p w14:paraId="1F95386B" w14:textId="04040C1D" w:rsidR="00C847F2" w:rsidRPr="00AC189E" w:rsidRDefault="00C847F2" w:rsidP="009E06F4">
            <w:pPr>
              <w:pStyle w:val="table10text"/>
              <w:jc w:val="center"/>
              <w:rPr>
                <w:color w:val="000000"/>
              </w:rPr>
            </w:pPr>
            <w:r w:rsidRPr="00AC189E">
              <w:rPr>
                <w:color w:val="000000"/>
              </w:rPr>
              <w:t xml:space="preserve">65.0 </w:t>
            </w:r>
            <w:r w:rsidR="00943C66">
              <w:rPr>
                <w:color w:val="000000"/>
              </w:rPr>
              <w:t>to</w:t>
            </w:r>
            <w:r w:rsidRPr="00AC189E">
              <w:rPr>
                <w:color w:val="000000"/>
              </w:rPr>
              <w:t xml:space="preserve"> 60.0</w:t>
            </w:r>
          </w:p>
        </w:tc>
        <w:tc>
          <w:tcPr>
            <w:tcW w:w="1420" w:type="dxa"/>
            <w:vAlign w:val="center"/>
          </w:tcPr>
          <w:p w14:paraId="3AA21180" w14:textId="77777777" w:rsidR="00C847F2" w:rsidRPr="00AC189E" w:rsidRDefault="00C847F2" w:rsidP="009E06F4">
            <w:pPr>
              <w:pStyle w:val="table10text"/>
              <w:jc w:val="center"/>
              <w:rPr>
                <w:color w:val="000000"/>
              </w:rPr>
            </w:pPr>
            <w:r w:rsidRPr="00AC189E">
              <w:rPr>
                <w:color w:val="000000"/>
              </w:rPr>
              <w:t>1.030</w:t>
            </w:r>
          </w:p>
        </w:tc>
      </w:tr>
      <w:tr w:rsidR="00C847F2" w:rsidRPr="003A33E2" w14:paraId="48F0A2D8" w14:textId="77777777" w:rsidTr="008B7A1D">
        <w:trPr>
          <w:trHeight w:val="288"/>
          <w:jc w:val="center"/>
        </w:trPr>
        <w:tc>
          <w:tcPr>
            <w:tcW w:w="3600" w:type="dxa"/>
            <w:tcBorders>
              <w:bottom w:val="single" w:sz="6" w:space="0" w:color="000000"/>
            </w:tcBorders>
            <w:vAlign w:val="center"/>
          </w:tcPr>
          <w:p w14:paraId="150F83E9" w14:textId="746B8AD2" w:rsidR="00C847F2" w:rsidRPr="00AC189E" w:rsidRDefault="00C847F2" w:rsidP="009E06F4">
            <w:pPr>
              <w:pStyle w:val="table10text"/>
              <w:jc w:val="center"/>
              <w:rPr>
                <w:color w:val="000000"/>
              </w:rPr>
            </w:pPr>
            <w:r w:rsidRPr="00AC189E">
              <w:rPr>
                <w:color w:val="000000"/>
              </w:rPr>
              <w:t xml:space="preserve">45.0 </w:t>
            </w:r>
            <w:r w:rsidR="00943C66">
              <w:rPr>
                <w:color w:val="000000"/>
              </w:rPr>
              <w:t>to</w:t>
            </w:r>
            <w:r w:rsidRPr="00AC189E">
              <w:rPr>
                <w:color w:val="000000"/>
              </w:rPr>
              <w:t xml:space="preserve"> 40.0</w:t>
            </w:r>
          </w:p>
        </w:tc>
        <w:tc>
          <w:tcPr>
            <w:tcW w:w="3600" w:type="dxa"/>
            <w:tcBorders>
              <w:bottom w:val="single" w:sz="6" w:space="0" w:color="000000"/>
            </w:tcBorders>
            <w:vAlign w:val="center"/>
          </w:tcPr>
          <w:p w14:paraId="0F4441B6" w14:textId="2573765F" w:rsidR="00C847F2" w:rsidRPr="00AC189E" w:rsidRDefault="00C847F2" w:rsidP="009E06F4">
            <w:pPr>
              <w:pStyle w:val="table10text"/>
              <w:jc w:val="center"/>
              <w:rPr>
                <w:color w:val="000000"/>
              </w:rPr>
            </w:pPr>
            <w:r w:rsidRPr="00AC189E">
              <w:rPr>
                <w:color w:val="000000"/>
              </w:rPr>
              <w:t xml:space="preserve">60.0 </w:t>
            </w:r>
            <w:r w:rsidR="00943C66">
              <w:rPr>
                <w:color w:val="000000"/>
              </w:rPr>
              <w:t>to</w:t>
            </w:r>
            <w:r w:rsidRPr="00AC189E">
              <w:rPr>
                <w:color w:val="000000"/>
              </w:rPr>
              <w:t xml:space="preserve"> 55.0</w:t>
            </w:r>
          </w:p>
        </w:tc>
        <w:tc>
          <w:tcPr>
            <w:tcW w:w="1420" w:type="dxa"/>
            <w:tcBorders>
              <w:bottom w:val="single" w:sz="6" w:space="0" w:color="000000"/>
            </w:tcBorders>
            <w:vAlign w:val="center"/>
          </w:tcPr>
          <w:p w14:paraId="4899A235" w14:textId="77777777" w:rsidR="00C847F2" w:rsidRPr="00AC189E" w:rsidRDefault="00C847F2" w:rsidP="009E06F4">
            <w:pPr>
              <w:pStyle w:val="table10text"/>
              <w:jc w:val="center"/>
              <w:rPr>
                <w:color w:val="000000"/>
              </w:rPr>
            </w:pPr>
            <w:r w:rsidRPr="00AC189E">
              <w:rPr>
                <w:color w:val="000000"/>
              </w:rPr>
              <w:t>1.040</w:t>
            </w:r>
          </w:p>
        </w:tc>
      </w:tr>
      <w:tr w:rsidR="00C847F2" w:rsidRPr="003A33E2" w14:paraId="275E8260" w14:textId="77777777" w:rsidTr="008B7A1D">
        <w:trPr>
          <w:trHeight w:val="288"/>
          <w:jc w:val="center"/>
        </w:trPr>
        <w:tc>
          <w:tcPr>
            <w:tcW w:w="3600" w:type="dxa"/>
            <w:vAlign w:val="center"/>
          </w:tcPr>
          <w:p w14:paraId="52A41F45" w14:textId="2371136E" w:rsidR="00C847F2" w:rsidRPr="00AC189E" w:rsidRDefault="00C847F2" w:rsidP="009E06F4">
            <w:pPr>
              <w:pStyle w:val="table10text"/>
              <w:jc w:val="center"/>
              <w:rPr>
                <w:color w:val="000000"/>
              </w:rPr>
            </w:pPr>
            <w:r w:rsidRPr="00AC189E">
              <w:rPr>
                <w:color w:val="000000"/>
              </w:rPr>
              <w:t xml:space="preserve">40.0 </w:t>
            </w:r>
            <w:r w:rsidR="00943C66">
              <w:rPr>
                <w:color w:val="000000"/>
              </w:rPr>
              <w:t>to</w:t>
            </w:r>
            <w:r w:rsidRPr="00AC189E">
              <w:rPr>
                <w:color w:val="000000"/>
              </w:rPr>
              <w:t xml:space="preserve"> 35.0</w:t>
            </w:r>
          </w:p>
        </w:tc>
        <w:tc>
          <w:tcPr>
            <w:tcW w:w="3600" w:type="dxa"/>
            <w:vAlign w:val="center"/>
          </w:tcPr>
          <w:p w14:paraId="7D507BFF" w14:textId="16EFE532" w:rsidR="00C847F2" w:rsidRPr="00AC189E" w:rsidRDefault="00C847F2" w:rsidP="009E06F4">
            <w:pPr>
              <w:pStyle w:val="table10text"/>
              <w:jc w:val="center"/>
              <w:rPr>
                <w:color w:val="000000"/>
              </w:rPr>
            </w:pPr>
            <w:r w:rsidRPr="00AC189E">
              <w:rPr>
                <w:color w:val="000000"/>
              </w:rPr>
              <w:t xml:space="preserve">55.0 </w:t>
            </w:r>
            <w:r w:rsidR="00943C66">
              <w:rPr>
                <w:color w:val="000000"/>
              </w:rPr>
              <w:t>to</w:t>
            </w:r>
            <w:r w:rsidRPr="00AC189E">
              <w:rPr>
                <w:color w:val="000000"/>
              </w:rPr>
              <w:t xml:space="preserve"> 50.0</w:t>
            </w:r>
          </w:p>
        </w:tc>
        <w:tc>
          <w:tcPr>
            <w:tcW w:w="1420" w:type="dxa"/>
            <w:vAlign w:val="center"/>
          </w:tcPr>
          <w:p w14:paraId="13B1CEFD" w14:textId="77777777" w:rsidR="00C847F2" w:rsidRPr="00AC189E" w:rsidRDefault="00C847F2" w:rsidP="009E06F4">
            <w:pPr>
              <w:pStyle w:val="table10text"/>
              <w:jc w:val="center"/>
              <w:rPr>
                <w:color w:val="000000"/>
              </w:rPr>
            </w:pPr>
            <w:r w:rsidRPr="00AC189E">
              <w:rPr>
                <w:color w:val="000000"/>
              </w:rPr>
              <w:t>1</w:t>
            </w:r>
            <w:r>
              <w:rPr>
                <w:color w:val="000000"/>
              </w:rPr>
              <w:t>.</w:t>
            </w:r>
            <w:r w:rsidRPr="00AC189E">
              <w:rPr>
                <w:color w:val="000000"/>
              </w:rPr>
              <w:t>050</w:t>
            </w:r>
          </w:p>
        </w:tc>
      </w:tr>
    </w:tbl>
    <w:p w14:paraId="270CF6BD" w14:textId="0600786D" w:rsidR="00C847F2" w:rsidRDefault="00C847F2" w:rsidP="00C847F2">
      <w:pPr>
        <w:pStyle w:val="Indent1"/>
        <w:ind w:left="360"/>
        <w:rPr>
          <w:strike/>
        </w:rPr>
      </w:pPr>
    </w:p>
    <w:p w14:paraId="2F995C6E" w14:textId="77777777" w:rsidR="00F71A09" w:rsidRPr="006D225A" w:rsidRDefault="00F71A09" w:rsidP="00F71A09">
      <w:pPr>
        <w:pStyle w:val="BodyText"/>
        <w:widowControl w:val="0"/>
        <w:spacing w:before="240" w:after="0"/>
        <w:jc w:val="center"/>
        <w:rPr>
          <w:b/>
          <w:bCs/>
        </w:rPr>
      </w:pPr>
      <w:bookmarkStart w:id="4" w:name="T401_9"/>
      <w:r w:rsidRPr="006D225A">
        <w:rPr>
          <w:b/>
          <w:bCs/>
        </w:rPr>
        <w:t>Table 401-9</w:t>
      </w:r>
    </w:p>
    <w:bookmarkEnd w:id="4"/>
    <w:p w14:paraId="297BA913" w14:textId="77777777" w:rsidR="00F71A09" w:rsidRPr="006D225A" w:rsidRDefault="00F71A09" w:rsidP="00F71A09">
      <w:pPr>
        <w:pStyle w:val="BodyText"/>
        <w:widowControl w:val="0"/>
        <w:spacing w:after="0"/>
        <w:jc w:val="center"/>
      </w:pPr>
      <w:r w:rsidRPr="006D225A">
        <w:rPr>
          <w:b/>
          <w:bCs/>
        </w:rPr>
        <w:t>Localized Roughness and Straightedge Measurement Pay Reductions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55"/>
        <w:gridCol w:w="1260"/>
        <w:gridCol w:w="1980"/>
        <w:gridCol w:w="1530"/>
        <w:gridCol w:w="1260"/>
        <w:gridCol w:w="1260"/>
      </w:tblGrid>
      <w:tr w:rsidR="00C73FF4" w:rsidRPr="006D225A" w14:paraId="5976D77D" w14:textId="4775CFA9" w:rsidTr="0091065A">
        <w:trPr>
          <w:trHeight w:val="354"/>
          <w:tblHeader/>
          <w:jc w:val="center"/>
        </w:trPr>
        <w:tc>
          <w:tcPr>
            <w:tcW w:w="1255" w:type="dxa"/>
            <w:shd w:val="clear" w:color="auto" w:fill="auto"/>
            <w:vAlign w:val="center"/>
          </w:tcPr>
          <w:p w14:paraId="081211D3" w14:textId="77777777" w:rsidR="00C73FF4" w:rsidRPr="006D225A" w:rsidRDefault="00C73FF4" w:rsidP="00B133E7">
            <w:pPr>
              <w:pStyle w:val="BodyText"/>
              <w:widowControl w:val="0"/>
              <w:spacing w:after="0"/>
              <w:jc w:val="center"/>
              <w:rPr>
                <w:b/>
                <w:bCs/>
                <w:sz w:val="20"/>
              </w:rPr>
            </w:pPr>
            <w:r w:rsidRPr="006D225A">
              <w:rPr>
                <w:b/>
                <w:bCs/>
                <w:sz w:val="20"/>
              </w:rPr>
              <w:t>Type I</w:t>
            </w:r>
          </w:p>
        </w:tc>
        <w:tc>
          <w:tcPr>
            <w:tcW w:w="1260" w:type="dxa"/>
            <w:shd w:val="clear" w:color="auto" w:fill="auto"/>
            <w:vAlign w:val="center"/>
          </w:tcPr>
          <w:p w14:paraId="38428FEA" w14:textId="686CF7E6" w:rsidR="00C73FF4" w:rsidRPr="006D225A" w:rsidRDefault="00C73FF4" w:rsidP="00B133E7">
            <w:pPr>
              <w:pStyle w:val="BodyText"/>
              <w:widowControl w:val="0"/>
              <w:spacing w:after="0"/>
              <w:jc w:val="center"/>
              <w:rPr>
                <w:b/>
                <w:bCs/>
                <w:sz w:val="20"/>
              </w:rPr>
            </w:pPr>
            <w:r w:rsidRPr="006D225A">
              <w:rPr>
                <w:b/>
                <w:bCs/>
                <w:sz w:val="20"/>
              </w:rPr>
              <w:t xml:space="preserve">Type </w:t>
            </w:r>
            <w:r w:rsidRPr="00247308">
              <w:rPr>
                <w:b/>
                <w:bCs/>
                <w:sz w:val="20"/>
              </w:rPr>
              <w:t>II</w:t>
            </w:r>
          </w:p>
        </w:tc>
        <w:tc>
          <w:tcPr>
            <w:tcW w:w="1980" w:type="dxa"/>
            <w:vMerge w:val="restart"/>
            <w:shd w:val="clear" w:color="auto" w:fill="auto"/>
            <w:vAlign w:val="center"/>
          </w:tcPr>
          <w:p w14:paraId="6C97C9B0" w14:textId="77777777" w:rsidR="00C73FF4" w:rsidRPr="006D225A" w:rsidRDefault="00C73FF4" w:rsidP="00B133E7">
            <w:pPr>
              <w:pStyle w:val="BodyText"/>
              <w:widowControl w:val="0"/>
              <w:spacing w:after="0"/>
              <w:jc w:val="center"/>
              <w:rPr>
                <w:b/>
                <w:bCs/>
                <w:sz w:val="20"/>
              </w:rPr>
            </w:pPr>
            <w:r w:rsidRPr="006D225A">
              <w:rPr>
                <w:b/>
                <w:bCs/>
                <w:sz w:val="20"/>
              </w:rPr>
              <w:t>Localized</w:t>
            </w:r>
          </w:p>
          <w:p w14:paraId="1621624C" w14:textId="77777777" w:rsidR="00C73FF4" w:rsidRPr="006D225A" w:rsidRDefault="00C73FF4" w:rsidP="00B133E7">
            <w:pPr>
              <w:pStyle w:val="BodyText"/>
              <w:widowControl w:val="0"/>
              <w:spacing w:after="0"/>
              <w:jc w:val="center"/>
              <w:rPr>
                <w:b/>
                <w:bCs/>
                <w:sz w:val="20"/>
              </w:rPr>
            </w:pPr>
            <w:r w:rsidRPr="006D225A">
              <w:rPr>
                <w:b/>
                <w:bCs/>
                <w:sz w:val="20"/>
              </w:rPr>
              <w:t>Roughness Limit</w:t>
            </w:r>
          </w:p>
          <w:p w14:paraId="19C4ACBE" w14:textId="77777777" w:rsidR="00C73FF4" w:rsidRPr="006D225A" w:rsidRDefault="00C73FF4" w:rsidP="00B133E7">
            <w:pPr>
              <w:pStyle w:val="BodyText"/>
              <w:widowControl w:val="0"/>
              <w:spacing w:after="0"/>
              <w:jc w:val="center"/>
              <w:rPr>
                <w:b/>
                <w:bCs/>
                <w:sz w:val="20"/>
              </w:rPr>
            </w:pPr>
            <w:r w:rsidRPr="006D225A">
              <w:rPr>
                <w:b/>
                <w:bCs/>
                <w:sz w:val="20"/>
              </w:rPr>
              <w:t>MRI</w:t>
            </w:r>
          </w:p>
        </w:tc>
        <w:tc>
          <w:tcPr>
            <w:tcW w:w="1530" w:type="dxa"/>
            <w:vMerge w:val="restart"/>
            <w:shd w:val="clear" w:color="auto" w:fill="auto"/>
            <w:vAlign w:val="center"/>
          </w:tcPr>
          <w:p w14:paraId="6CCD85F1" w14:textId="77777777" w:rsidR="00C73FF4" w:rsidRPr="006D225A" w:rsidRDefault="00C73FF4" w:rsidP="00B133E7">
            <w:pPr>
              <w:pStyle w:val="BodyText"/>
              <w:widowControl w:val="0"/>
              <w:spacing w:after="0"/>
              <w:jc w:val="center"/>
              <w:rPr>
                <w:b/>
                <w:bCs/>
                <w:sz w:val="20"/>
              </w:rPr>
            </w:pPr>
            <w:r w:rsidRPr="006D225A">
              <w:rPr>
                <w:b/>
                <w:bCs/>
                <w:sz w:val="20"/>
              </w:rPr>
              <w:t>Localized</w:t>
            </w:r>
          </w:p>
          <w:p w14:paraId="239872E0" w14:textId="77777777" w:rsidR="00C73FF4" w:rsidRPr="006D225A" w:rsidRDefault="00C73FF4" w:rsidP="00B133E7">
            <w:pPr>
              <w:pStyle w:val="BodyText"/>
              <w:widowControl w:val="0"/>
              <w:spacing w:after="0"/>
              <w:jc w:val="center"/>
              <w:rPr>
                <w:b/>
                <w:bCs/>
                <w:sz w:val="20"/>
              </w:rPr>
            </w:pPr>
            <w:r w:rsidRPr="006D225A">
              <w:rPr>
                <w:b/>
                <w:bCs/>
                <w:sz w:val="20"/>
              </w:rPr>
              <w:t>Roughness</w:t>
            </w:r>
          </w:p>
          <w:p w14:paraId="2A7BCCD3" w14:textId="77777777" w:rsidR="00C73FF4" w:rsidRPr="006D225A" w:rsidRDefault="00C73FF4" w:rsidP="00B133E7">
            <w:pPr>
              <w:pStyle w:val="BodyText"/>
              <w:widowControl w:val="0"/>
              <w:spacing w:after="0"/>
              <w:jc w:val="center"/>
              <w:rPr>
                <w:b/>
                <w:bCs/>
                <w:sz w:val="20"/>
              </w:rPr>
            </w:pPr>
            <w:r w:rsidRPr="006D225A">
              <w:rPr>
                <w:b/>
                <w:bCs/>
                <w:sz w:val="20"/>
              </w:rPr>
              <w:t>Limit</w:t>
            </w:r>
          </w:p>
          <w:p w14:paraId="6D23494B" w14:textId="6A6D7F22" w:rsidR="00C73FF4" w:rsidRPr="006D225A" w:rsidRDefault="00C73FF4" w:rsidP="00B133E7">
            <w:pPr>
              <w:pStyle w:val="BodyText"/>
              <w:widowControl w:val="0"/>
              <w:spacing w:after="0"/>
              <w:jc w:val="center"/>
              <w:rPr>
                <w:b/>
                <w:bCs/>
                <w:sz w:val="20"/>
              </w:rPr>
            </w:pPr>
            <w:r w:rsidRPr="006D225A">
              <w:rPr>
                <w:b/>
                <w:bCs/>
                <w:sz w:val="20"/>
              </w:rPr>
              <w:t>MRI, inch/mile</w:t>
            </w:r>
          </w:p>
        </w:tc>
        <w:tc>
          <w:tcPr>
            <w:tcW w:w="1260" w:type="dxa"/>
            <w:shd w:val="clear" w:color="auto" w:fill="auto"/>
            <w:vAlign w:val="center"/>
          </w:tcPr>
          <w:p w14:paraId="2923B22B" w14:textId="69743E24" w:rsidR="00C73FF4" w:rsidRPr="006D225A" w:rsidRDefault="00C73FF4" w:rsidP="00B133E7">
            <w:pPr>
              <w:pStyle w:val="BodyText"/>
              <w:widowControl w:val="0"/>
              <w:spacing w:after="0"/>
              <w:jc w:val="center"/>
              <w:rPr>
                <w:b/>
                <w:bCs/>
                <w:sz w:val="20"/>
              </w:rPr>
            </w:pPr>
            <w:r>
              <w:rPr>
                <w:b/>
                <w:bCs/>
                <w:sz w:val="20"/>
              </w:rPr>
              <w:t>Type III-A</w:t>
            </w:r>
          </w:p>
        </w:tc>
        <w:tc>
          <w:tcPr>
            <w:tcW w:w="1260" w:type="dxa"/>
            <w:vAlign w:val="center"/>
          </w:tcPr>
          <w:p w14:paraId="0DAC54C6" w14:textId="7F940AC8" w:rsidR="00C73FF4" w:rsidRPr="006D225A" w:rsidRDefault="00C73FF4" w:rsidP="00C73FF4">
            <w:pPr>
              <w:pStyle w:val="BodyText"/>
              <w:widowControl w:val="0"/>
              <w:spacing w:after="0"/>
              <w:jc w:val="center"/>
              <w:rPr>
                <w:b/>
                <w:bCs/>
                <w:sz w:val="20"/>
              </w:rPr>
            </w:pPr>
            <w:r>
              <w:rPr>
                <w:b/>
                <w:bCs/>
                <w:sz w:val="20"/>
              </w:rPr>
              <w:t>Type III-B</w:t>
            </w:r>
          </w:p>
        </w:tc>
      </w:tr>
      <w:tr w:rsidR="00C73FF4" w:rsidRPr="006D225A" w14:paraId="1CDC8895" w14:textId="273CE342" w:rsidTr="0091065A">
        <w:trPr>
          <w:trHeight w:val="353"/>
          <w:tblHeader/>
          <w:jc w:val="center"/>
        </w:trPr>
        <w:tc>
          <w:tcPr>
            <w:tcW w:w="1255" w:type="dxa"/>
            <w:shd w:val="clear" w:color="auto" w:fill="auto"/>
            <w:vAlign w:val="center"/>
          </w:tcPr>
          <w:p w14:paraId="3F35B545" w14:textId="77777777" w:rsidR="00C73FF4" w:rsidRPr="006D225A" w:rsidRDefault="00C73FF4" w:rsidP="00B133E7">
            <w:pPr>
              <w:pStyle w:val="BodyText"/>
              <w:widowControl w:val="0"/>
              <w:spacing w:after="0"/>
              <w:jc w:val="center"/>
              <w:rPr>
                <w:b/>
                <w:bCs/>
                <w:sz w:val="20"/>
              </w:rPr>
            </w:pPr>
            <w:r w:rsidRPr="006D225A">
              <w:rPr>
                <w:b/>
                <w:bCs/>
                <w:sz w:val="20"/>
              </w:rPr>
              <w:t>Deduction</w:t>
            </w:r>
          </w:p>
          <w:p w14:paraId="0A77F043" w14:textId="77777777" w:rsidR="00C73FF4" w:rsidRPr="006D225A" w:rsidRDefault="00C73FF4" w:rsidP="00B133E7">
            <w:pPr>
              <w:pStyle w:val="BodyText"/>
              <w:widowControl w:val="0"/>
              <w:spacing w:after="0"/>
              <w:jc w:val="center"/>
              <w:rPr>
                <w:b/>
                <w:bCs/>
                <w:sz w:val="20"/>
              </w:rPr>
            </w:pPr>
            <w:r w:rsidRPr="006D225A">
              <w:rPr>
                <w:b/>
                <w:bCs/>
                <w:sz w:val="20"/>
              </w:rPr>
              <w:t>per</w:t>
            </w:r>
          </w:p>
          <w:p w14:paraId="3648E5CD" w14:textId="77777777" w:rsidR="00C73FF4" w:rsidRPr="006D225A" w:rsidRDefault="00C73FF4" w:rsidP="00B133E7">
            <w:pPr>
              <w:pStyle w:val="BodyText"/>
              <w:widowControl w:val="0"/>
              <w:spacing w:after="0"/>
              <w:jc w:val="center"/>
              <w:rPr>
                <w:b/>
                <w:bCs/>
                <w:sz w:val="20"/>
              </w:rPr>
            </w:pPr>
            <w:r w:rsidRPr="006D225A">
              <w:rPr>
                <w:b/>
                <w:bCs/>
                <w:sz w:val="20"/>
              </w:rPr>
              <w:t>Occurrence</w:t>
            </w:r>
          </w:p>
        </w:tc>
        <w:tc>
          <w:tcPr>
            <w:tcW w:w="1260" w:type="dxa"/>
            <w:shd w:val="clear" w:color="auto" w:fill="auto"/>
            <w:vAlign w:val="center"/>
          </w:tcPr>
          <w:p w14:paraId="25A4AA70" w14:textId="77777777" w:rsidR="00C73FF4" w:rsidRPr="006D225A" w:rsidRDefault="00C73FF4" w:rsidP="00B133E7">
            <w:pPr>
              <w:pStyle w:val="BodyText"/>
              <w:widowControl w:val="0"/>
              <w:spacing w:after="0"/>
              <w:jc w:val="center"/>
              <w:rPr>
                <w:b/>
                <w:bCs/>
                <w:sz w:val="20"/>
              </w:rPr>
            </w:pPr>
            <w:r w:rsidRPr="006D225A">
              <w:rPr>
                <w:b/>
                <w:bCs/>
                <w:sz w:val="20"/>
              </w:rPr>
              <w:t>Deduction</w:t>
            </w:r>
          </w:p>
          <w:p w14:paraId="392B50AC" w14:textId="77777777" w:rsidR="00C73FF4" w:rsidRPr="006D225A" w:rsidRDefault="00C73FF4" w:rsidP="00B133E7">
            <w:pPr>
              <w:pStyle w:val="BodyText"/>
              <w:widowControl w:val="0"/>
              <w:spacing w:after="0"/>
              <w:jc w:val="center"/>
              <w:rPr>
                <w:b/>
                <w:bCs/>
                <w:sz w:val="20"/>
              </w:rPr>
            </w:pPr>
            <w:r w:rsidRPr="006D225A">
              <w:rPr>
                <w:b/>
                <w:bCs/>
                <w:sz w:val="20"/>
              </w:rPr>
              <w:t>per</w:t>
            </w:r>
          </w:p>
          <w:p w14:paraId="4DC2A2FC" w14:textId="77777777" w:rsidR="00C73FF4" w:rsidRPr="006D225A" w:rsidRDefault="00C73FF4" w:rsidP="00B133E7">
            <w:pPr>
              <w:pStyle w:val="BodyText"/>
              <w:widowControl w:val="0"/>
              <w:spacing w:after="0"/>
              <w:jc w:val="center"/>
              <w:rPr>
                <w:b/>
                <w:bCs/>
                <w:sz w:val="20"/>
              </w:rPr>
            </w:pPr>
            <w:r w:rsidRPr="006D225A">
              <w:rPr>
                <w:b/>
                <w:bCs/>
                <w:sz w:val="20"/>
              </w:rPr>
              <w:t>Occurrence</w:t>
            </w:r>
          </w:p>
        </w:tc>
        <w:tc>
          <w:tcPr>
            <w:tcW w:w="1980" w:type="dxa"/>
            <w:vMerge/>
            <w:shd w:val="clear" w:color="auto" w:fill="auto"/>
            <w:vAlign w:val="center"/>
          </w:tcPr>
          <w:p w14:paraId="3EF388D8" w14:textId="77777777" w:rsidR="00C73FF4" w:rsidRPr="006D225A" w:rsidRDefault="00C73FF4" w:rsidP="00B133E7">
            <w:pPr>
              <w:pStyle w:val="BodyText"/>
              <w:widowControl w:val="0"/>
              <w:spacing w:after="0"/>
              <w:jc w:val="center"/>
              <w:rPr>
                <w:b/>
                <w:bCs/>
                <w:sz w:val="20"/>
              </w:rPr>
            </w:pPr>
          </w:p>
        </w:tc>
        <w:tc>
          <w:tcPr>
            <w:tcW w:w="1530" w:type="dxa"/>
            <w:vMerge/>
            <w:shd w:val="clear" w:color="auto" w:fill="auto"/>
            <w:vAlign w:val="center"/>
          </w:tcPr>
          <w:p w14:paraId="6865A07F" w14:textId="1D915DF0" w:rsidR="00C73FF4" w:rsidRPr="006D225A" w:rsidRDefault="00C73FF4" w:rsidP="00B133E7">
            <w:pPr>
              <w:pStyle w:val="BodyText"/>
              <w:widowControl w:val="0"/>
              <w:spacing w:after="0"/>
              <w:jc w:val="center"/>
              <w:rPr>
                <w:b/>
                <w:bCs/>
                <w:sz w:val="20"/>
              </w:rPr>
            </w:pPr>
          </w:p>
        </w:tc>
        <w:tc>
          <w:tcPr>
            <w:tcW w:w="1260" w:type="dxa"/>
            <w:shd w:val="clear" w:color="auto" w:fill="auto"/>
            <w:vAlign w:val="center"/>
          </w:tcPr>
          <w:p w14:paraId="1DCB14DC" w14:textId="77777777" w:rsidR="00C73FF4" w:rsidRPr="006D225A" w:rsidRDefault="00C73FF4" w:rsidP="00B133E7">
            <w:pPr>
              <w:pStyle w:val="BodyText"/>
              <w:widowControl w:val="0"/>
              <w:spacing w:after="0"/>
              <w:jc w:val="center"/>
              <w:rPr>
                <w:b/>
                <w:bCs/>
                <w:sz w:val="20"/>
              </w:rPr>
            </w:pPr>
            <w:r w:rsidRPr="006D225A">
              <w:rPr>
                <w:b/>
                <w:bCs/>
                <w:sz w:val="20"/>
              </w:rPr>
              <w:t>Deduction</w:t>
            </w:r>
          </w:p>
          <w:p w14:paraId="12EC04E8" w14:textId="77777777" w:rsidR="00C73FF4" w:rsidRPr="006D225A" w:rsidRDefault="00C73FF4" w:rsidP="00B133E7">
            <w:pPr>
              <w:pStyle w:val="BodyText"/>
              <w:widowControl w:val="0"/>
              <w:spacing w:after="0"/>
              <w:jc w:val="center"/>
              <w:rPr>
                <w:b/>
                <w:bCs/>
                <w:sz w:val="20"/>
              </w:rPr>
            </w:pPr>
            <w:r w:rsidRPr="006D225A">
              <w:rPr>
                <w:b/>
                <w:bCs/>
                <w:sz w:val="20"/>
              </w:rPr>
              <w:t>per</w:t>
            </w:r>
          </w:p>
          <w:p w14:paraId="0384E89D" w14:textId="77777777" w:rsidR="00C73FF4" w:rsidRPr="006D225A" w:rsidRDefault="00C73FF4" w:rsidP="00B133E7">
            <w:pPr>
              <w:pStyle w:val="BodyText"/>
              <w:widowControl w:val="0"/>
              <w:spacing w:after="0"/>
              <w:jc w:val="center"/>
              <w:rPr>
                <w:b/>
                <w:bCs/>
                <w:sz w:val="20"/>
              </w:rPr>
            </w:pPr>
            <w:r w:rsidRPr="006D225A">
              <w:rPr>
                <w:b/>
                <w:bCs/>
                <w:sz w:val="20"/>
              </w:rPr>
              <w:t>Occurrence</w:t>
            </w:r>
          </w:p>
        </w:tc>
        <w:tc>
          <w:tcPr>
            <w:tcW w:w="1260" w:type="dxa"/>
            <w:vAlign w:val="center"/>
          </w:tcPr>
          <w:p w14:paraId="2E6FAC4D" w14:textId="77777777" w:rsidR="00C73FF4" w:rsidRPr="006D225A" w:rsidRDefault="00C73FF4" w:rsidP="00C73FF4">
            <w:pPr>
              <w:pStyle w:val="BodyText"/>
              <w:widowControl w:val="0"/>
              <w:spacing w:after="0"/>
              <w:jc w:val="center"/>
              <w:rPr>
                <w:b/>
                <w:bCs/>
                <w:sz w:val="20"/>
              </w:rPr>
            </w:pPr>
            <w:r w:rsidRPr="006D225A">
              <w:rPr>
                <w:b/>
                <w:bCs/>
                <w:sz w:val="20"/>
              </w:rPr>
              <w:t>Deduction</w:t>
            </w:r>
          </w:p>
          <w:p w14:paraId="0D31CA63" w14:textId="77777777" w:rsidR="00C73FF4" w:rsidRPr="006D225A" w:rsidRDefault="00C73FF4" w:rsidP="00C73FF4">
            <w:pPr>
              <w:pStyle w:val="BodyText"/>
              <w:widowControl w:val="0"/>
              <w:spacing w:after="0"/>
              <w:jc w:val="center"/>
              <w:rPr>
                <w:b/>
                <w:bCs/>
                <w:sz w:val="20"/>
              </w:rPr>
            </w:pPr>
            <w:r w:rsidRPr="006D225A">
              <w:rPr>
                <w:b/>
                <w:bCs/>
                <w:sz w:val="20"/>
              </w:rPr>
              <w:t>per</w:t>
            </w:r>
          </w:p>
          <w:p w14:paraId="65E71EB6" w14:textId="4A2DE539" w:rsidR="00C73FF4" w:rsidRPr="006D225A" w:rsidRDefault="00C73FF4" w:rsidP="00C73FF4">
            <w:pPr>
              <w:pStyle w:val="BodyText"/>
              <w:widowControl w:val="0"/>
              <w:spacing w:after="0"/>
              <w:jc w:val="center"/>
              <w:rPr>
                <w:b/>
                <w:bCs/>
                <w:sz w:val="20"/>
              </w:rPr>
            </w:pPr>
            <w:r w:rsidRPr="006D225A">
              <w:rPr>
                <w:b/>
                <w:bCs/>
                <w:sz w:val="20"/>
              </w:rPr>
              <w:t>Occurrence</w:t>
            </w:r>
          </w:p>
        </w:tc>
      </w:tr>
      <w:tr w:rsidR="00F71A09" w:rsidRPr="006D225A" w14:paraId="0CFE5511" w14:textId="6E920DBF" w:rsidTr="00054023">
        <w:trPr>
          <w:trHeight w:val="300"/>
          <w:jc w:val="center"/>
        </w:trPr>
        <w:tc>
          <w:tcPr>
            <w:tcW w:w="1255" w:type="dxa"/>
            <w:vMerge w:val="restart"/>
            <w:shd w:val="clear" w:color="auto" w:fill="auto"/>
            <w:vAlign w:val="center"/>
          </w:tcPr>
          <w:p w14:paraId="537082C9" w14:textId="77777777" w:rsidR="00F71A09" w:rsidRPr="006D225A" w:rsidRDefault="00F71A09" w:rsidP="00B133E7">
            <w:pPr>
              <w:pStyle w:val="BodyText"/>
              <w:widowControl w:val="0"/>
              <w:spacing w:after="0"/>
              <w:jc w:val="center"/>
              <w:rPr>
                <w:sz w:val="20"/>
              </w:rPr>
            </w:pPr>
            <w:r w:rsidRPr="006D225A">
              <w:rPr>
                <w:sz w:val="20"/>
              </w:rPr>
              <w:t>$200</w:t>
            </w:r>
          </w:p>
        </w:tc>
        <w:tc>
          <w:tcPr>
            <w:tcW w:w="1260" w:type="dxa"/>
            <w:vMerge w:val="restart"/>
            <w:shd w:val="clear" w:color="auto" w:fill="auto"/>
            <w:vAlign w:val="center"/>
          </w:tcPr>
          <w:p w14:paraId="1E563DE0" w14:textId="77777777" w:rsidR="00F71A09" w:rsidRPr="006D225A" w:rsidRDefault="00F71A09" w:rsidP="00B133E7">
            <w:pPr>
              <w:pStyle w:val="BodyText"/>
              <w:widowControl w:val="0"/>
              <w:spacing w:after="0"/>
              <w:jc w:val="center"/>
              <w:rPr>
                <w:sz w:val="20"/>
              </w:rPr>
            </w:pPr>
            <w:r w:rsidRPr="006D225A">
              <w:rPr>
                <w:sz w:val="20"/>
              </w:rPr>
              <w:t>$300</w:t>
            </w:r>
          </w:p>
        </w:tc>
        <w:tc>
          <w:tcPr>
            <w:tcW w:w="1980" w:type="dxa"/>
            <w:vMerge w:val="restart"/>
            <w:shd w:val="clear" w:color="auto" w:fill="auto"/>
            <w:vAlign w:val="center"/>
          </w:tcPr>
          <w:p w14:paraId="6D908095" w14:textId="77777777" w:rsidR="00F71A09" w:rsidRPr="006D225A" w:rsidRDefault="00F71A09" w:rsidP="00B133E7">
            <w:pPr>
              <w:pStyle w:val="BodyText"/>
              <w:widowControl w:val="0"/>
              <w:spacing w:after="0"/>
              <w:jc w:val="center"/>
              <w:rPr>
                <w:sz w:val="20"/>
              </w:rPr>
            </w:pPr>
            <w:r w:rsidRPr="006D225A">
              <w:rPr>
                <w:sz w:val="20"/>
              </w:rPr>
              <w:t>Computed MRI value</w:t>
            </w:r>
          </w:p>
          <w:p w14:paraId="5BA1B589" w14:textId="77777777" w:rsidR="00F71A09" w:rsidRDefault="00F71A09" w:rsidP="003F444A">
            <w:pPr>
              <w:pStyle w:val="BodyText"/>
              <w:widowControl w:val="0"/>
              <w:spacing w:after="120"/>
              <w:jc w:val="center"/>
              <w:rPr>
                <w:sz w:val="20"/>
              </w:rPr>
            </w:pPr>
            <w:r w:rsidRPr="006D225A">
              <w:rPr>
                <w:sz w:val="20"/>
              </w:rPr>
              <w:t>according to Subsection</w:t>
            </w:r>
            <w:r>
              <w:rPr>
                <w:sz w:val="20"/>
              </w:rPr>
              <w:t>:</w:t>
            </w:r>
          </w:p>
          <w:p w14:paraId="4B06038D" w14:textId="025D4D64" w:rsidR="00F71A09" w:rsidRDefault="00F71A09" w:rsidP="003F444A">
            <w:pPr>
              <w:pStyle w:val="BodyText"/>
              <w:widowControl w:val="0"/>
              <w:spacing w:after="120"/>
              <w:jc w:val="center"/>
              <w:rPr>
                <w:sz w:val="20"/>
              </w:rPr>
            </w:pPr>
            <w:r w:rsidRPr="00C73FF4">
              <w:rPr>
                <w:sz w:val="20"/>
              </w:rPr>
              <w:t>401.16(b)</w:t>
            </w:r>
            <w:r w:rsidRPr="005E03CE">
              <w:rPr>
                <w:sz w:val="20"/>
              </w:rPr>
              <w:t xml:space="preserve"> for Type</w:t>
            </w:r>
            <w:r w:rsidR="003F444A">
              <w:rPr>
                <w:sz w:val="20"/>
              </w:rPr>
              <w:t>s</w:t>
            </w:r>
            <w:r w:rsidRPr="005E03CE">
              <w:rPr>
                <w:sz w:val="20"/>
              </w:rPr>
              <w:t xml:space="preserve"> I</w:t>
            </w:r>
            <w:r w:rsidR="003F444A">
              <w:rPr>
                <w:sz w:val="20"/>
              </w:rPr>
              <w:t xml:space="preserve"> and II</w:t>
            </w:r>
          </w:p>
          <w:p w14:paraId="40C305EC" w14:textId="60EB2B54" w:rsidR="00F71A09" w:rsidRPr="006D225A" w:rsidRDefault="00F71A09" w:rsidP="00B133E7">
            <w:pPr>
              <w:pStyle w:val="BodyText"/>
              <w:widowControl w:val="0"/>
              <w:spacing w:after="0"/>
              <w:jc w:val="center"/>
              <w:rPr>
                <w:sz w:val="20"/>
              </w:rPr>
            </w:pPr>
            <w:r w:rsidRPr="00C73FF4">
              <w:rPr>
                <w:sz w:val="20"/>
              </w:rPr>
              <w:t>401.16(</w:t>
            </w:r>
            <w:r w:rsidR="00054023">
              <w:rPr>
                <w:sz w:val="20"/>
              </w:rPr>
              <w:t>c</w:t>
            </w:r>
            <w:r w:rsidRPr="00C73FF4">
              <w:rPr>
                <w:sz w:val="20"/>
              </w:rPr>
              <w:t>)</w:t>
            </w:r>
            <w:r w:rsidRPr="005E03CE">
              <w:rPr>
                <w:sz w:val="20"/>
              </w:rPr>
              <w:t xml:space="preserve"> for Type III</w:t>
            </w:r>
          </w:p>
        </w:tc>
        <w:tc>
          <w:tcPr>
            <w:tcW w:w="1530" w:type="dxa"/>
            <w:shd w:val="clear" w:color="auto" w:fill="auto"/>
            <w:vAlign w:val="center"/>
          </w:tcPr>
          <w:p w14:paraId="14C71670" w14:textId="59D970CA" w:rsidR="00F71A09" w:rsidRPr="006D225A" w:rsidRDefault="00F71A09" w:rsidP="00B133E7">
            <w:pPr>
              <w:pStyle w:val="BodyText"/>
              <w:widowControl w:val="0"/>
              <w:spacing w:after="0"/>
              <w:jc w:val="center"/>
              <w:rPr>
                <w:sz w:val="20"/>
              </w:rPr>
            </w:pPr>
            <w:r w:rsidRPr="006D225A">
              <w:rPr>
                <w:sz w:val="20"/>
              </w:rPr>
              <w:t>1</w:t>
            </w:r>
            <w:r>
              <w:rPr>
                <w:sz w:val="20"/>
              </w:rPr>
              <w:t>7</w:t>
            </w:r>
            <w:r w:rsidRPr="006D225A">
              <w:rPr>
                <w:sz w:val="20"/>
              </w:rPr>
              <w:t>0.0 to 1</w:t>
            </w:r>
            <w:r>
              <w:rPr>
                <w:sz w:val="20"/>
              </w:rPr>
              <w:t>7</w:t>
            </w:r>
            <w:r w:rsidRPr="006D225A">
              <w:rPr>
                <w:sz w:val="20"/>
              </w:rPr>
              <w:t>9.9</w:t>
            </w:r>
          </w:p>
        </w:tc>
        <w:tc>
          <w:tcPr>
            <w:tcW w:w="1260" w:type="dxa"/>
            <w:shd w:val="clear" w:color="auto" w:fill="auto"/>
            <w:vAlign w:val="center"/>
          </w:tcPr>
          <w:p w14:paraId="34B48926" w14:textId="3BCAFE9E" w:rsidR="00F71A09" w:rsidRPr="006D225A" w:rsidRDefault="00F71A09" w:rsidP="00B133E7">
            <w:pPr>
              <w:pStyle w:val="BodyText"/>
              <w:widowControl w:val="0"/>
              <w:spacing w:after="0"/>
              <w:jc w:val="center"/>
              <w:rPr>
                <w:sz w:val="20"/>
              </w:rPr>
            </w:pPr>
            <w:r w:rsidRPr="006D225A">
              <w:rPr>
                <w:sz w:val="20"/>
              </w:rPr>
              <w:t>$</w:t>
            </w:r>
            <w:r w:rsidR="00C73FF4">
              <w:rPr>
                <w:sz w:val="20"/>
              </w:rPr>
              <w:t>2</w:t>
            </w:r>
            <w:r w:rsidRPr="006D225A">
              <w:rPr>
                <w:sz w:val="20"/>
              </w:rPr>
              <w:t>00</w:t>
            </w:r>
          </w:p>
        </w:tc>
        <w:tc>
          <w:tcPr>
            <w:tcW w:w="1260" w:type="dxa"/>
            <w:vAlign w:val="center"/>
          </w:tcPr>
          <w:p w14:paraId="74264C39" w14:textId="481D46F7" w:rsidR="00F71A09" w:rsidRPr="006D225A" w:rsidRDefault="00C73FF4" w:rsidP="00C73FF4">
            <w:pPr>
              <w:pStyle w:val="BodyText"/>
              <w:widowControl w:val="0"/>
              <w:spacing w:after="0"/>
              <w:jc w:val="center"/>
              <w:rPr>
                <w:sz w:val="20"/>
              </w:rPr>
            </w:pPr>
            <w:r>
              <w:rPr>
                <w:sz w:val="20"/>
              </w:rPr>
              <w:t>-</w:t>
            </w:r>
          </w:p>
        </w:tc>
      </w:tr>
      <w:tr w:rsidR="00F71A09" w:rsidRPr="006D225A" w14:paraId="51B0418C" w14:textId="7C472003" w:rsidTr="00054023">
        <w:trPr>
          <w:trHeight w:val="300"/>
          <w:jc w:val="center"/>
        </w:trPr>
        <w:tc>
          <w:tcPr>
            <w:tcW w:w="1255" w:type="dxa"/>
            <w:vMerge/>
            <w:shd w:val="clear" w:color="auto" w:fill="auto"/>
            <w:vAlign w:val="center"/>
          </w:tcPr>
          <w:p w14:paraId="141233FC" w14:textId="77777777" w:rsidR="00F71A09" w:rsidRPr="006D225A" w:rsidRDefault="00F71A09" w:rsidP="00B133E7">
            <w:pPr>
              <w:pStyle w:val="BodyText"/>
              <w:widowControl w:val="0"/>
              <w:spacing w:after="0"/>
              <w:jc w:val="center"/>
              <w:rPr>
                <w:sz w:val="20"/>
              </w:rPr>
            </w:pPr>
          </w:p>
        </w:tc>
        <w:tc>
          <w:tcPr>
            <w:tcW w:w="1260" w:type="dxa"/>
            <w:vMerge/>
            <w:shd w:val="clear" w:color="auto" w:fill="auto"/>
            <w:vAlign w:val="center"/>
          </w:tcPr>
          <w:p w14:paraId="196116FA" w14:textId="77777777" w:rsidR="00F71A09" w:rsidRPr="006D225A" w:rsidRDefault="00F71A09" w:rsidP="00B133E7">
            <w:pPr>
              <w:pStyle w:val="BodyText"/>
              <w:widowControl w:val="0"/>
              <w:spacing w:after="0"/>
              <w:jc w:val="center"/>
              <w:rPr>
                <w:sz w:val="20"/>
              </w:rPr>
            </w:pPr>
          </w:p>
        </w:tc>
        <w:tc>
          <w:tcPr>
            <w:tcW w:w="1980" w:type="dxa"/>
            <w:vMerge/>
            <w:shd w:val="clear" w:color="auto" w:fill="auto"/>
            <w:vAlign w:val="center"/>
          </w:tcPr>
          <w:p w14:paraId="3CBB32C9" w14:textId="77777777" w:rsidR="00F71A09" w:rsidRPr="006D225A" w:rsidRDefault="00F71A09" w:rsidP="00B133E7">
            <w:pPr>
              <w:pStyle w:val="BodyText"/>
              <w:widowControl w:val="0"/>
              <w:spacing w:after="0"/>
              <w:jc w:val="center"/>
              <w:rPr>
                <w:sz w:val="20"/>
              </w:rPr>
            </w:pPr>
          </w:p>
        </w:tc>
        <w:tc>
          <w:tcPr>
            <w:tcW w:w="1530" w:type="dxa"/>
            <w:shd w:val="clear" w:color="auto" w:fill="auto"/>
            <w:vAlign w:val="center"/>
          </w:tcPr>
          <w:p w14:paraId="74982B2C" w14:textId="60227905" w:rsidR="00F71A09" w:rsidRPr="006D225A" w:rsidRDefault="00F71A09" w:rsidP="00B133E7">
            <w:pPr>
              <w:pStyle w:val="BodyText"/>
              <w:widowControl w:val="0"/>
              <w:spacing w:after="0"/>
              <w:jc w:val="center"/>
              <w:rPr>
                <w:sz w:val="20"/>
              </w:rPr>
            </w:pPr>
            <w:r w:rsidRPr="006D225A">
              <w:rPr>
                <w:sz w:val="20"/>
              </w:rPr>
              <w:t>1</w:t>
            </w:r>
            <w:r>
              <w:rPr>
                <w:sz w:val="20"/>
              </w:rPr>
              <w:t>8</w:t>
            </w:r>
            <w:r w:rsidRPr="006D225A">
              <w:rPr>
                <w:sz w:val="20"/>
              </w:rPr>
              <w:t>0.0 to 1</w:t>
            </w:r>
            <w:r>
              <w:rPr>
                <w:sz w:val="20"/>
              </w:rPr>
              <w:t>8</w:t>
            </w:r>
            <w:r w:rsidRPr="006D225A">
              <w:rPr>
                <w:sz w:val="20"/>
              </w:rPr>
              <w:t>9.9</w:t>
            </w:r>
          </w:p>
        </w:tc>
        <w:tc>
          <w:tcPr>
            <w:tcW w:w="1260" w:type="dxa"/>
            <w:shd w:val="clear" w:color="auto" w:fill="auto"/>
            <w:vAlign w:val="center"/>
          </w:tcPr>
          <w:p w14:paraId="0CBD353E" w14:textId="34EAB33B" w:rsidR="00F71A09" w:rsidRPr="006D225A" w:rsidRDefault="00F71A09" w:rsidP="00B133E7">
            <w:pPr>
              <w:pStyle w:val="BodyText"/>
              <w:widowControl w:val="0"/>
              <w:spacing w:after="0"/>
              <w:jc w:val="center"/>
              <w:rPr>
                <w:sz w:val="20"/>
              </w:rPr>
            </w:pPr>
            <w:r w:rsidRPr="006D225A">
              <w:rPr>
                <w:sz w:val="20"/>
              </w:rPr>
              <w:t>$4</w:t>
            </w:r>
            <w:r w:rsidR="00C73FF4">
              <w:rPr>
                <w:sz w:val="20"/>
              </w:rPr>
              <w:t>0</w:t>
            </w:r>
            <w:r w:rsidRPr="006D225A">
              <w:rPr>
                <w:sz w:val="20"/>
              </w:rPr>
              <w:t>0</w:t>
            </w:r>
          </w:p>
        </w:tc>
        <w:tc>
          <w:tcPr>
            <w:tcW w:w="1260" w:type="dxa"/>
            <w:vAlign w:val="center"/>
          </w:tcPr>
          <w:p w14:paraId="4FA4164A" w14:textId="26384846" w:rsidR="00F71A09" w:rsidRPr="006D225A" w:rsidRDefault="00C73FF4" w:rsidP="00C73FF4">
            <w:pPr>
              <w:pStyle w:val="BodyText"/>
              <w:widowControl w:val="0"/>
              <w:spacing w:after="0"/>
              <w:jc w:val="center"/>
              <w:rPr>
                <w:sz w:val="20"/>
              </w:rPr>
            </w:pPr>
            <w:r>
              <w:rPr>
                <w:sz w:val="20"/>
              </w:rPr>
              <w:t>-</w:t>
            </w:r>
          </w:p>
        </w:tc>
      </w:tr>
      <w:tr w:rsidR="00F71A09" w:rsidRPr="006D225A" w14:paraId="704CC483" w14:textId="64F7F0D1" w:rsidTr="00054023">
        <w:trPr>
          <w:trHeight w:val="300"/>
          <w:jc w:val="center"/>
        </w:trPr>
        <w:tc>
          <w:tcPr>
            <w:tcW w:w="1255" w:type="dxa"/>
            <w:vMerge/>
            <w:shd w:val="clear" w:color="auto" w:fill="auto"/>
            <w:vAlign w:val="center"/>
          </w:tcPr>
          <w:p w14:paraId="71CF7046" w14:textId="77777777" w:rsidR="00F71A09" w:rsidRPr="006D225A" w:rsidRDefault="00F71A09" w:rsidP="00B133E7">
            <w:pPr>
              <w:pStyle w:val="BodyText"/>
              <w:widowControl w:val="0"/>
              <w:spacing w:after="0"/>
              <w:jc w:val="center"/>
              <w:rPr>
                <w:sz w:val="20"/>
              </w:rPr>
            </w:pPr>
          </w:p>
        </w:tc>
        <w:tc>
          <w:tcPr>
            <w:tcW w:w="1260" w:type="dxa"/>
            <w:vMerge/>
            <w:shd w:val="clear" w:color="auto" w:fill="auto"/>
            <w:vAlign w:val="center"/>
          </w:tcPr>
          <w:p w14:paraId="3E131428" w14:textId="77777777" w:rsidR="00F71A09" w:rsidRPr="006D225A" w:rsidRDefault="00F71A09" w:rsidP="00B133E7">
            <w:pPr>
              <w:pStyle w:val="BodyText"/>
              <w:widowControl w:val="0"/>
              <w:spacing w:after="0"/>
              <w:jc w:val="center"/>
              <w:rPr>
                <w:sz w:val="20"/>
              </w:rPr>
            </w:pPr>
          </w:p>
        </w:tc>
        <w:tc>
          <w:tcPr>
            <w:tcW w:w="1980" w:type="dxa"/>
            <w:vMerge/>
            <w:shd w:val="clear" w:color="auto" w:fill="auto"/>
            <w:vAlign w:val="center"/>
          </w:tcPr>
          <w:p w14:paraId="7CF91D91" w14:textId="77777777" w:rsidR="00F71A09" w:rsidRPr="006D225A" w:rsidRDefault="00F71A09" w:rsidP="00B133E7">
            <w:pPr>
              <w:pStyle w:val="BodyText"/>
              <w:widowControl w:val="0"/>
              <w:spacing w:after="0"/>
              <w:jc w:val="center"/>
              <w:rPr>
                <w:sz w:val="20"/>
              </w:rPr>
            </w:pPr>
          </w:p>
        </w:tc>
        <w:tc>
          <w:tcPr>
            <w:tcW w:w="1530" w:type="dxa"/>
            <w:shd w:val="clear" w:color="auto" w:fill="auto"/>
            <w:vAlign w:val="center"/>
          </w:tcPr>
          <w:p w14:paraId="7BF0381C" w14:textId="5BD6799E" w:rsidR="00F71A09" w:rsidRPr="006D225A" w:rsidRDefault="00F71A09" w:rsidP="00B133E7">
            <w:pPr>
              <w:pStyle w:val="BodyText"/>
              <w:widowControl w:val="0"/>
              <w:spacing w:after="0"/>
              <w:jc w:val="center"/>
              <w:rPr>
                <w:sz w:val="20"/>
              </w:rPr>
            </w:pPr>
            <w:r w:rsidRPr="006D225A">
              <w:rPr>
                <w:sz w:val="20"/>
              </w:rPr>
              <w:t>1</w:t>
            </w:r>
            <w:r>
              <w:rPr>
                <w:sz w:val="20"/>
              </w:rPr>
              <w:t>9</w:t>
            </w:r>
            <w:r w:rsidRPr="006D225A">
              <w:rPr>
                <w:sz w:val="20"/>
              </w:rPr>
              <w:t>0.0 to 1</w:t>
            </w:r>
            <w:r>
              <w:rPr>
                <w:sz w:val="20"/>
              </w:rPr>
              <w:t>9</w:t>
            </w:r>
            <w:r w:rsidRPr="006D225A">
              <w:rPr>
                <w:sz w:val="20"/>
              </w:rPr>
              <w:t>9.9</w:t>
            </w:r>
          </w:p>
        </w:tc>
        <w:tc>
          <w:tcPr>
            <w:tcW w:w="1260" w:type="dxa"/>
            <w:shd w:val="clear" w:color="auto" w:fill="auto"/>
            <w:vAlign w:val="center"/>
          </w:tcPr>
          <w:p w14:paraId="49A594DD" w14:textId="77777777" w:rsidR="00F71A09" w:rsidRPr="006D225A" w:rsidRDefault="00F71A09" w:rsidP="00B133E7">
            <w:pPr>
              <w:pStyle w:val="BodyText"/>
              <w:widowControl w:val="0"/>
              <w:spacing w:after="0"/>
              <w:jc w:val="center"/>
              <w:rPr>
                <w:sz w:val="20"/>
              </w:rPr>
            </w:pPr>
            <w:r w:rsidRPr="006D225A">
              <w:rPr>
                <w:sz w:val="20"/>
              </w:rPr>
              <w:t>$600</w:t>
            </w:r>
          </w:p>
        </w:tc>
        <w:tc>
          <w:tcPr>
            <w:tcW w:w="1260" w:type="dxa"/>
            <w:vAlign w:val="center"/>
          </w:tcPr>
          <w:p w14:paraId="16DE7D43" w14:textId="424CBAA8" w:rsidR="00F71A09" w:rsidRPr="006D225A" w:rsidRDefault="00C73FF4" w:rsidP="00C73FF4">
            <w:pPr>
              <w:pStyle w:val="BodyText"/>
              <w:widowControl w:val="0"/>
              <w:spacing w:after="0"/>
              <w:jc w:val="center"/>
              <w:rPr>
                <w:sz w:val="20"/>
              </w:rPr>
            </w:pPr>
            <w:r>
              <w:rPr>
                <w:sz w:val="20"/>
              </w:rPr>
              <w:t>$300</w:t>
            </w:r>
          </w:p>
        </w:tc>
      </w:tr>
      <w:tr w:rsidR="00F71A09" w:rsidRPr="006D225A" w14:paraId="1F240748" w14:textId="70782610" w:rsidTr="00054023">
        <w:trPr>
          <w:trHeight w:val="300"/>
          <w:jc w:val="center"/>
        </w:trPr>
        <w:tc>
          <w:tcPr>
            <w:tcW w:w="1255" w:type="dxa"/>
            <w:vMerge/>
            <w:shd w:val="clear" w:color="auto" w:fill="auto"/>
            <w:vAlign w:val="center"/>
          </w:tcPr>
          <w:p w14:paraId="4C1BDAD0" w14:textId="77777777" w:rsidR="00F71A09" w:rsidRPr="006D225A" w:rsidRDefault="00F71A09" w:rsidP="00B133E7">
            <w:pPr>
              <w:pStyle w:val="BodyText"/>
              <w:widowControl w:val="0"/>
              <w:spacing w:after="0"/>
              <w:jc w:val="center"/>
              <w:rPr>
                <w:sz w:val="20"/>
              </w:rPr>
            </w:pPr>
          </w:p>
        </w:tc>
        <w:tc>
          <w:tcPr>
            <w:tcW w:w="1260" w:type="dxa"/>
            <w:vMerge/>
            <w:shd w:val="clear" w:color="auto" w:fill="auto"/>
            <w:vAlign w:val="center"/>
          </w:tcPr>
          <w:p w14:paraId="63A635E7" w14:textId="77777777" w:rsidR="00F71A09" w:rsidRPr="006D225A" w:rsidRDefault="00F71A09" w:rsidP="00B133E7">
            <w:pPr>
              <w:pStyle w:val="BodyText"/>
              <w:widowControl w:val="0"/>
              <w:spacing w:after="0"/>
              <w:jc w:val="center"/>
              <w:rPr>
                <w:sz w:val="20"/>
              </w:rPr>
            </w:pPr>
          </w:p>
        </w:tc>
        <w:tc>
          <w:tcPr>
            <w:tcW w:w="1980" w:type="dxa"/>
            <w:vMerge/>
            <w:shd w:val="clear" w:color="auto" w:fill="auto"/>
            <w:vAlign w:val="center"/>
          </w:tcPr>
          <w:p w14:paraId="7A6EBEAC" w14:textId="77777777" w:rsidR="00F71A09" w:rsidRPr="006D225A" w:rsidRDefault="00F71A09" w:rsidP="00B133E7">
            <w:pPr>
              <w:pStyle w:val="BodyText"/>
              <w:widowControl w:val="0"/>
              <w:spacing w:after="0"/>
              <w:jc w:val="center"/>
              <w:rPr>
                <w:sz w:val="20"/>
              </w:rPr>
            </w:pPr>
          </w:p>
        </w:tc>
        <w:tc>
          <w:tcPr>
            <w:tcW w:w="1530" w:type="dxa"/>
            <w:shd w:val="clear" w:color="auto" w:fill="auto"/>
            <w:vAlign w:val="center"/>
          </w:tcPr>
          <w:p w14:paraId="0595D1F0" w14:textId="3E4205E3" w:rsidR="00F71A09" w:rsidRPr="006D225A" w:rsidRDefault="00F71A09" w:rsidP="00B133E7">
            <w:pPr>
              <w:pStyle w:val="BodyText"/>
              <w:widowControl w:val="0"/>
              <w:spacing w:after="0"/>
              <w:jc w:val="center"/>
              <w:rPr>
                <w:sz w:val="20"/>
              </w:rPr>
            </w:pPr>
            <w:r>
              <w:rPr>
                <w:sz w:val="20"/>
              </w:rPr>
              <w:t>20</w:t>
            </w:r>
            <w:r w:rsidRPr="006D225A">
              <w:rPr>
                <w:sz w:val="20"/>
              </w:rPr>
              <w:t xml:space="preserve">0.0 to </w:t>
            </w:r>
            <w:r>
              <w:rPr>
                <w:sz w:val="20"/>
              </w:rPr>
              <w:t>20</w:t>
            </w:r>
            <w:r w:rsidRPr="006D225A">
              <w:rPr>
                <w:sz w:val="20"/>
              </w:rPr>
              <w:t>9.9</w:t>
            </w:r>
          </w:p>
        </w:tc>
        <w:tc>
          <w:tcPr>
            <w:tcW w:w="1260" w:type="dxa"/>
            <w:shd w:val="clear" w:color="auto" w:fill="auto"/>
            <w:vAlign w:val="center"/>
          </w:tcPr>
          <w:p w14:paraId="5FA384A1" w14:textId="5791DFA8" w:rsidR="00F71A09" w:rsidRPr="006D225A" w:rsidRDefault="00F71A09" w:rsidP="00B133E7">
            <w:pPr>
              <w:pStyle w:val="BodyText"/>
              <w:widowControl w:val="0"/>
              <w:spacing w:after="0"/>
              <w:jc w:val="center"/>
              <w:rPr>
                <w:sz w:val="20"/>
              </w:rPr>
            </w:pPr>
            <w:r w:rsidRPr="006D225A">
              <w:rPr>
                <w:sz w:val="20"/>
              </w:rPr>
              <w:t>$</w:t>
            </w:r>
            <w:r w:rsidR="00C73FF4">
              <w:rPr>
                <w:sz w:val="20"/>
              </w:rPr>
              <w:t>80</w:t>
            </w:r>
            <w:r w:rsidRPr="006D225A">
              <w:rPr>
                <w:sz w:val="20"/>
              </w:rPr>
              <w:t>0</w:t>
            </w:r>
          </w:p>
        </w:tc>
        <w:tc>
          <w:tcPr>
            <w:tcW w:w="1260" w:type="dxa"/>
            <w:vAlign w:val="center"/>
          </w:tcPr>
          <w:p w14:paraId="4C5932E4" w14:textId="3AFFFC24" w:rsidR="00F71A09" w:rsidRPr="006D225A" w:rsidRDefault="00C73FF4" w:rsidP="00C73FF4">
            <w:pPr>
              <w:pStyle w:val="BodyText"/>
              <w:widowControl w:val="0"/>
              <w:spacing w:after="0"/>
              <w:jc w:val="center"/>
              <w:rPr>
                <w:sz w:val="20"/>
              </w:rPr>
            </w:pPr>
            <w:r>
              <w:rPr>
                <w:sz w:val="20"/>
              </w:rPr>
              <w:t>$400</w:t>
            </w:r>
          </w:p>
        </w:tc>
      </w:tr>
      <w:tr w:rsidR="00F71A09" w:rsidRPr="006D225A" w14:paraId="439B81F5" w14:textId="15023111" w:rsidTr="00054023">
        <w:trPr>
          <w:trHeight w:val="300"/>
          <w:jc w:val="center"/>
        </w:trPr>
        <w:tc>
          <w:tcPr>
            <w:tcW w:w="1255" w:type="dxa"/>
            <w:vMerge/>
            <w:shd w:val="clear" w:color="auto" w:fill="auto"/>
            <w:vAlign w:val="center"/>
          </w:tcPr>
          <w:p w14:paraId="4438131F" w14:textId="77777777" w:rsidR="00F71A09" w:rsidRPr="006D225A" w:rsidRDefault="00F71A09" w:rsidP="00B133E7">
            <w:pPr>
              <w:pStyle w:val="BodyText"/>
              <w:widowControl w:val="0"/>
              <w:spacing w:after="0"/>
              <w:jc w:val="center"/>
              <w:rPr>
                <w:sz w:val="20"/>
              </w:rPr>
            </w:pPr>
          </w:p>
        </w:tc>
        <w:tc>
          <w:tcPr>
            <w:tcW w:w="1260" w:type="dxa"/>
            <w:vMerge/>
            <w:shd w:val="clear" w:color="auto" w:fill="auto"/>
            <w:vAlign w:val="center"/>
          </w:tcPr>
          <w:p w14:paraId="36426E6B" w14:textId="77777777" w:rsidR="00F71A09" w:rsidRPr="006D225A" w:rsidRDefault="00F71A09" w:rsidP="00B133E7">
            <w:pPr>
              <w:pStyle w:val="BodyText"/>
              <w:widowControl w:val="0"/>
              <w:spacing w:after="0"/>
              <w:jc w:val="center"/>
              <w:rPr>
                <w:sz w:val="20"/>
              </w:rPr>
            </w:pPr>
          </w:p>
        </w:tc>
        <w:tc>
          <w:tcPr>
            <w:tcW w:w="1980" w:type="dxa"/>
            <w:vMerge/>
            <w:shd w:val="clear" w:color="auto" w:fill="auto"/>
            <w:vAlign w:val="center"/>
          </w:tcPr>
          <w:p w14:paraId="2D92D6C3" w14:textId="77777777" w:rsidR="00F71A09" w:rsidRPr="006D225A" w:rsidRDefault="00F71A09" w:rsidP="00B133E7">
            <w:pPr>
              <w:pStyle w:val="BodyText"/>
              <w:widowControl w:val="0"/>
              <w:spacing w:after="0"/>
              <w:jc w:val="center"/>
              <w:rPr>
                <w:sz w:val="20"/>
              </w:rPr>
            </w:pPr>
          </w:p>
        </w:tc>
        <w:tc>
          <w:tcPr>
            <w:tcW w:w="1530" w:type="dxa"/>
            <w:shd w:val="clear" w:color="auto" w:fill="auto"/>
            <w:vAlign w:val="center"/>
          </w:tcPr>
          <w:p w14:paraId="7545D326" w14:textId="498061AE" w:rsidR="00F71A09" w:rsidRPr="006D225A" w:rsidRDefault="00F71A09" w:rsidP="00B133E7">
            <w:pPr>
              <w:pStyle w:val="BodyText"/>
              <w:widowControl w:val="0"/>
              <w:spacing w:after="0"/>
              <w:jc w:val="center"/>
              <w:rPr>
                <w:sz w:val="20"/>
              </w:rPr>
            </w:pPr>
            <w:r w:rsidRPr="006D225A">
              <w:rPr>
                <w:sz w:val="20"/>
              </w:rPr>
              <w:t>2</w:t>
            </w:r>
            <w:r>
              <w:rPr>
                <w:sz w:val="20"/>
              </w:rPr>
              <w:t>1</w:t>
            </w:r>
            <w:r w:rsidRPr="006D225A">
              <w:rPr>
                <w:sz w:val="20"/>
              </w:rPr>
              <w:t>0.0 to 2</w:t>
            </w:r>
            <w:r>
              <w:rPr>
                <w:sz w:val="20"/>
              </w:rPr>
              <w:t>1</w:t>
            </w:r>
            <w:r w:rsidRPr="006D225A">
              <w:rPr>
                <w:sz w:val="20"/>
              </w:rPr>
              <w:t>9.9</w:t>
            </w:r>
          </w:p>
        </w:tc>
        <w:tc>
          <w:tcPr>
            <w:tcW w:w="1260" w:type="dxa"/>
            <w:shd w:val="clear" w:color="auto" w:fill="auto"/>
            <w:vAlign w:val="center"/>
          </w:tcPr>
          <w:p w14:paraId="12C2509E" w14:textId="33CA9B5F" w:rsidR="00F71A09" w:rsidRPr="006D225A" w:rsidRDefault="00F71A09" w:rsidP="00B133E7">
            <w:pPr>
              <w:pStyle w:val="BodyText"/>
              <w:widowControl w:val="0"/>
              <w:spacing w:after="0"/>
              <w:jc w:val="center"/>
              <w:rPr>
                <w:sz w:val="20"/>
              </w:rPr>
            </w:pPr>
            <w:r w:rsidRPr="006D225A">
              <w:rPr>
                <w:sz w:val="20"/>
              </w:rPr>
              <w:t>$</w:t>
            </w:r>
            <w:r w:rsidR="00C73FF4">
              <w:rPr>
                <w:sz w:val="20"/>
              </w:rPr>
              <w:t>1,0</w:t>
            </w:r>
            <w:r w:rsidRPr="006D225A">
              <w:rPr>
                <w:sz w:val="20"/>
              </w:rPr>
              <w:t>00</w:t>
            </w:r>
          </w:p>
        </w:tc>
        <w:tc>
          <w:tcPr>
            <w:tcW w:w="1260" w:type="dxa"/>
            <w:vAlign w:val="center"/>
          </w:tcPr>
          <w:p w14:paraId="102123A8" w14:textId="51616D02" w:rsidR="00F71A09" w:rsidRPr="006D225A" w:rsidRDefault="00C73FF4" w:rsidP="00C73FF4">
            <w:pPr>
              <w:pStyle w:val="BodyText"/>
              <w:widowControl w:val="0"/>
              <w:spacing w:after="0"/>
              <w:jc w:val="center"/>
              <w:rPr>
                <w:sz w:val="20"/>
              </w:rPr>
            </w:pPr>
            <w:r>
              <w:rPr>
                <w:sz w:val="20"/>
              </w:rPr>
              <w:t>$500</w:t>
            </w:r>
          </w:p>
        </w:tc>
      </w:tr>
      <w:tr w:rsidR="00F71A09" w:rsidRPr="006D225A" w14:paraId="54923156" w14:textId="6261ACA3" w:rsidTr="00054023">
        <w:trPr>
          <w:trHeight w:val="300"/>
          <w:jc w:val="center"/>
        </w:trPr>
        <w:tc>
          <w:tcPr>
            <w:tcW w:w="1255" w:type="dxa"/>
            <w:vMerge/>
            <w:shd w:val="clear" w:color="auto" w:fill="auto"/>
            <w:vAlign w:val="center"/>
          </w:tcPr>
          <w:p w14:paraId="3FD57590" w14:textId="77777777" w:rsidR="00F71A09" w:rsidRPr="006D225A" w:rsidRDefault="00F71A09" w:rsidP="00B133E7">
            <w:pPr>
              <w:pStyle w:val="BodyText"/>
              <w:widowControl w:val="0"/>
              <w:spacing w:after="0"/>
              <w:jc w:val="center"/>
              <w:rPr>
                <w:sz w:val="20"/>
              </w:rPr>
            </w:pPr>
          </w:p>
        </w:tc>
        <w:tc>
          <w:tcPr>
            <w:tcW w:w="1260" w:type="dxa"/>
            <w:vMerge/>
            <w:shd w:val="clear" w:color="auto" w:fill="auto"/>
            <w:vAlign w:val="center"/>
          </w:tcPr>
          <w:p w14:paraId="7B0BDBD1" w14:textId="77777777" w:rsidR="00F71A09" w:rsidRPr="006D225A" w:rsidRDefault="00F71A09" w:rsidP="00B133E7">
            <w:pPr>
              <w:pStyle w:val="BodyText"/>
              <w:widowControl w:val="0"/>
              <w:spacing w:after="0"/>
              <w:jc w:val="center"/>
              <w:rPr>
                <w:sz w:val="20"/>
              </w:rPr>
            </w:pPr>
          </w:p>
        </w:tc>
        <w:tc>
          <w:tcPr>
            <w:tcW w:w="1980" w:type="dxa"/>
            <w:vMerge/>
            <w:shd w:val="clear" w:color="auto" w:fill="auto"/>
            <w:vAlign w:val="center"/>
          </w:tcPr>
          <w:p w14:paraId="10FCDE36" w14:textId="77777777" w:rsidR="00F71A09" w:rsidRPr="006D225A" w:rsidRDefault="00F71A09" w:rsidP="00B133E7">
            <w:pPr>
              <w:pStyle w:val="BodyText"/>
              <w:widowControl w:val="0"/>
              <w:spacing w:after="0"/>
              <w:jc w:val="center"/>
              <w:rPr>
                <w:sz w:val="20"/>
              </w:rPr>
            </w:pPr>
          </w:p>
        </w:tc>
        <w:tc>
          <w:tcPr>
            <w:tcW w:w="1530" w:type="dxa"/>
            <w:shd w:val="clear" w:color="auto" w:fill="auto"/>
            <w:vAlign w:val="center"/>
          </w:tcPr>
          <w:p w14:paraId="4FE565B4" w14:textId="1EC0E441" w:rsidR="00F71A09" w:rsidRPr="006D225A" w:rsidRDefault="00F71A09" w:rsidP="00B133E7">
            <w:pPr>
              <w:pStyle w:val="BodyText"/>
              <w:widowControl w:val="0"/>
              <w:spacing w:after="0"/>
              <w:jc w:val="center"/>
              <w:rPr>
                <w:sz w:val="20"/>
              </w:rPr>
            </w:pPr>
            <w:r w:rsidRPr="006D225A">
              <w:rPr>
                <w:sz w:val="20"/>
              </w:rPr>
              <w:t>2</w:t>
            </w:r>
            <w:r>
              <w:rPr>
                <w:sz w:val="20"/>
              </w:rPr>
              <w:t>2</w:t>
            </w:r>
            <w:r w:rsidRPr="006D225A">
              <w:rPr>
                <w:sz w:val="20"/>
              </w:rPr>
              <w:t>0.0 to 2</w:t>
            </w:r>
            <w:r>
              <w:rPr>
                <w:sz w:val="20"/>
              </w:rPr>
              <w:t>2</w:t>
            </w:r>
            <w:r w:rsidRPr="006D225A">
              <w:rPr>
                <w:sz w:val="20"/>
              </w:rPr>
              <w:t>9.9</w:t>
            </w:r>
          </w:p>
        </w:tc>
        <w:tc>
          <w:tcPr>
            <w:tcW w:w="1260" w:type="dxa"/>
            <w:shd w:val="clear" w:color="auto" w:fill="auto"/>
            <w:vAlign w:val="center"/>
          </w:tcPr>
          <w:p w14:paraId="2E7B8B0D" w14:textId="5DF15145" w:rsidR="00F71A09" w:rsidRPr="006D225A" w:rsidRDefault="00F71A09" w:rsidP="00B133E7">
            <w:pPr>
              <w:pStyle w:val="BodyText"/>
              <w:widowControl w:val="0"/>
              <w:spacing w:after="0"/>
              <w:jc w:val="center"/>
              <w:rPr>
                <w:sz w:val="20"/>
              </w:rPr>
            </w:pPr>
            <w:r w:rsidRPr="006D225A">
              <w:rPr>
                <w:sz w:val="20"/>
              </w:rPr>
              <w:t>$1,</w:t>
            </w:r>
            <w:r w:rsidR="00C73FF4">
              <w:rPr>
                <w:sz w:val="20"/>
              </w:rPr>
              <w:t>5</w:t>
            </w:r>
            <w:r w:rsidRPr="006D225A">
              <w:rPr>
                <w:sz w:val="20"/>
              </w:rPr>
              <w:t>00</w:t>
            </w:r>
          </w:p>
        </w:tc>
        <w:tc>
          <w:tcPr>
            <w:tcW w:w="1260" w:type="dxa"/>
            <w:vAlign w:val="center"/>
          </w:tcPr>
          <w:p w14:paraId="5828C36D" w14:textId="7448BFE2" w:rsidR="00F71A09" w:rsidRPr="006D225A" w:rsidRDefault="00C73FF4" w:rsidP="00C73FF4">
            <w:pPr>
              <w:pStyle w:val="BodyText"/>
              <w:widowControl w:val="0"/>
              <w:spacing w:after="0"/>
              <w:jc w:val="center"/>
              <w:rPr>
                <w:sz w:val="20"/>
              </w:rPr>
            </w:pPr>
            <w:r>
              <w:rPr>
                <w:sz w:val="20"/>
              </w:rPr>
              <w:t>$750</w:t>
            </w:r>
          </w:p>
        </w:tc>
      </w:tr>
      <w:tr w:rsidR="00F71A09" w:rsidRPr="006D225A" w14:paraId="71E4E6F7" w14:textId="2EDE211D" w:rsidTr="00054023">
        <w:trPr>
          <w:trHeight w:val="300"/>
          <w:jc w:val="center"/>
        </w:trPr>
        <w:tc>
          <w:tcPr>
            <w:tcW w:w="1255" w:type="dxa"/>
            <w:vMerge/>
            <w:shd w:val="clear" w:color="auto" w:fill="auto"/>
            <w:vAlign w:val="center"/>
          </w:tcPr>
          <w:p w14:paraId="27D36522" w14:textId="77777777" w:rsidR="00F71A09" w:rsidRPr="006D225A" w:rsidRDefault="00F71A09" w:rsidP="00B133E7">
            <w:pPr>
              <w:pStyle w:val="BodyText"/>
              <w:widowControl w:val="0"/>
              <w:spacing w:after="0"/>
              <w:jc w:val="center"/>
              <w:rPr>
                <w:sz w:val="20"/>
              </w:rPr>
            </w:pPr>
          </w:p>
        </w:tc>
        <w:tc>
          <w:tcPr>
            <w:tcW w:w="1260" w:type="dxa"/>
            <w:vMerge/>
            <w:shd w:val="clear" w:color="auto" w:fill="auto"/>
            <w:vAlign w:val="center"/>
          </w:tcPr>
          <w:p w14:paraId="73DB9CBE" w14:textId="77777777" w:rsidR="00F71A09" w:rsidRPr="006D225A" w:rsidRDefault="00F71A09" w:rsidP="00B133E7">
            <w:pPr>
              <w:pStyle w:val="BodyText"/>
              <w:widowControl w:val="0"/>
              <w:spacing w:after="0"/>
              <w:jc w:val="center"/>
              <w:rPr>
                <w:sz w:val="20"/>
              </w:rPr>
            </w:pPr>
          </w:p>
        </w:tc>
        <w:tc>
          <w:tcPr>
            <w:tcW w:w="1980" w:type="dxa"/>
            <w:vMerge/>
            <w:shd w:val="clear" w:color="auto" w:fill="auto"/>
            <w:vAlign w:val="center"/>
          </w:tcPr>
          <w:p w14:paraId="4B192B98" w14:textId="77777777" w:rsidR="00F71A09" w:rsidRPr="006D225A" w:rsidRDefault="00F71A09" w:rsidP="00B133E7">
            <w:pPr>
              <w:pStyle w:val="BodyText"/>
              <w:widowControl w:val="0"/>
              <w:spacing w:after="0"/>
              <w:jc w:val="center"/>
              <w:rPr>
                <w:sz w:val="20"/>
              </w:rPr>
            </w:pPr>
          </w:p>
        </w:tc>
        <w:tc>
          <w:tcPr>
            <w:tcW w:w="1530" w:type="dxa"/>
            <w:shd w:val="clear" w:color="auto" w:fill="auto"/>
            <w:vAlign w:val="center"/>
          </w:tcPr>
          <w:p w14:paraId="1FAA48C0" w14:textId="77777777" w:rsidR="00F71A09" w:rsidRPr="006D225A" w:rsidRDefault="00F71A09" w:rsidP="00B133E7">
            <w:pPr>
              <w:pStyle w:val="BodyText"/>
              <w:widowControl w:val="0"/>
              <w:spacing w:after="0"/>
              <w:jc w:val="center"/>
              <w:rPr>
                <w:sz w:val="20"/>
              </w:rPr>
            </w:pPr>
            <w:r w:rsidRPr="006D225A">
              <w:rPr>
                <w:sz w:val="20"/>
              </w:rPr>
              <w:t>230.0 to 239.9</w:t>
            </w:r>
          </w:p>
        </w:tc>
        <w:tc>
          <w:tcPr>
            <w:tcW w:w="1260" w:type="dxa"/>
            <w:shd w:val="clear" w:color="auto" w:fill="auto"/>
            <w:vAlign w:val="center"/>
          </w:tcPr>
          <w:p w14:paraId="62B5C21E" w14:textId="77777777" w:rsidR="00F71A09" w:rsidRPr="006D225A" w:rsidRDefault="00F71A09" w:rsidP="00B133E7">
            <w:pPr>
              <w:pStyle w:val="BodyText"/>
              <w:widowControl w:val="0"/>
              <w:spacing w:after="0"/>
              <w:jc w:val="center"/>
              <w:rPr>
                <w:sz w:val="20"/>
              </w:rPr>
            </w:pPr>
            <w:r w:rsidRPr="006D225A">
              <w:rPr>
                <w:sz w:val="20"/>
              </w:rPr>
              <w:t>$2,000</w:t>
            </w:r>
          </w:p>
        </w:tc>
        <w:tc>
          <w:tcPr>
            <w:tcW w:w="1260" w:type="dxa"/>
            <w:vAlign w:val="center"/>
          </w:tcPr>
          <w:p w14:paraId="1AA91A52" w14:textId="2B77A40E" w:rsidR="00F71A09" w:rsidRPr="006D225A" w:rsidRDefault="00C73FF4" w:rsidP="00C73FF4">
            <w:pPr>
              <w:pStyle w:val="BodyText"/>
              <w:widowControl w:val="0"/>
              <w:spacing w:after="0"/>
              <w:jc w:val="center"/>
              <w:rPr>
                <w:sz w:val="20"/>
              </w:rPr>
            </w:pPr>
            <w:r>
              <w:rPr>
                <w:sz w:val="20"/>
              </w:rPr>
              <w:t>$1,000</w:t>
            </w:r>
          </w:p>
        </w:tc>
      </w:tr>
      <w:tr w:rsidR="00F71A09" w:rsidRPr="006D225A" w14:paraId="100B9081" w14:textId="64638BE3" w:rsidTr="00054023">
        <w:trPr>
          <w:trHeight w:val="260"/>
          <w:jc w:val="center"/>
        </w:trPr>
        <w:tc>
          <w:tcPr>
            <w:tcW w:w="1255" w:type="dxa"/>
            <w:vMerge/>
            <w:shd w:val="clear" w:color="auto" w:fill="auto"/>
            <w:vAlign w:val="center"/>
          </w:tcPr>
          <w:p w14:paraId="757D8B69" w14:textId="77777777" w:rsidR="00F71A09" w:rsidRPr="006D225A" w:rsidRDefault="00F71A09" w:rsidP="00B133E7">
            <w:pPr>
              <w:pStyle w:val="BodyText"/>
              <w:widowControl w:val="0"/>
              <w:spacing w:after="0"/>
              <w:jc w:val="center"/>
              <w:rPr>
                <w:sz w:val="20"/>
              </w:rPr>
            </w:pPr>
          </w:p>
        </w:tc>
        <w:tc>
          <w:tcPr>
            <w:tcW w:w="1260" w:type="dxa"/>
            <w:vMerge/>
            <w:shd w:val="clear" w:color="auto" w:fill="auto"/>
            <w:vAlign w:val="center"/>
          </w:tcPr>
          <w:p w14:paraId="6C5A3ABF" w14:textId="77777777" w:rsidR="00F71A09" w:rsidRPr="006D225A" w:rsidRDefault="00F71A09" w:rsidP="00B133E7">
            <w:pPr>
              <w:pStyle w:val="BodyText"/>
              <w:widowControl w:val="0"/>
              <w:spacing w:after="0"/>
              <w:jc w:val="center"/>
              <w:rPr>
                <w:sz w:val="20"/>
              </w:rPr>
            </w:pPr>
          </w:p>
        </w:tc>
        <w:tc>
          <w:tcPr>
            <w:tcW w:w="1980" w:type="dxa"/>
            <w:vMerge/>
            <w:shd w:val="clear" w:color="auto" w:fill="auto"/>
            <w:vAlign w:val="center"/>
          </w:tcPr>
          <w:p w14:paraId="5C8C981D" w14:textId="77777777" w:rsidR="00F71A09" w:rsidRPr="006D225A" w:rsidRDefault="00F71A09" w:rsidP="00B133E7">
            <w:pPr>
              <w:pStyle w:val="BodyText"/>
              <w:widowControl w:val="0"/>
              <w:spacing w:after="0"/>
              <w:jc w:val="center"/>
              <w:rPr>
                <w:sz w:val="20"/>
              </w:rPr>
            </w:pPr>
          </w:p>
        </w:tc>
        <w:tc>
          <w:tcPr>
            <w:tcW w:w="1530" w:type="dxa"/>
            <w:shd w:val="clear" w:color="auto" w:fill="auto"/>
            <w:vAlign w:val="center"/>
          </w:tcPr>
          <w:p w14:paraId="18B46B93" w14:textId="77777777" w:rsidR="00F71A09" w:rsidRPr="006D225A" w:rsidRDefault="00F71A09" w:rsidP="00B133E7">
            <w:pPr>
              <w:pStyle w:val="BodyText"/>
              <w:widowControl w:val="0"/>
              <w:spacing w:after="0"/>
              <w:jc w:val="center"/>
              <w:rPr>
                <w:sz w:val="20"/>
              </w:rPr>
            </w:pPr>
            <w:r w:rsidRPr="006D225A">
              <w:rPr>
                <w:sz w:val="20"/>
              </w:rPr>
              <w:t>&gt; 240.0</w:t>
            </w:r>
          </w:p>
        </w:tc>
        <w:tc>
          <w:tcPr>
            <w:tcW w:w="1260" w:type="dxa"/>
            <w:shd w:val="clear" w:color="auto" w:fill="auto"/>
            <w:vAlign w:val="center"/>
          </w:tcPr>
          <w:p w14:paraId="5C8FB47A" w14:textId="77777777" w:rsidR="00F71A09" w:rsidRPr="006D225A" w:rsidRDefault="00F71A09" w:rsidP="00B133E7">
            <w:pPr>
              <w:pStyle w:val="BodyText"/>
              <w:widowControl w:val="0"/>
              <w:spacing w:after="0"/>
              <w:jc w:val="center"/>
              <w:rPr>
                <w:sz w:val="20"/>
              </w:rPr>
            </w:pPr>
            <w:r w:rsidRPr="006D225A">
              <w:rPr>
                <w:sz w:val="20"/>
              </w:rPr>
              <w:t>$4,000</w:t>
            </w:r>
          </w:p>
        </w:tc>
        <w:tc>
          <w:tcPr>
            <w:tcW w:w="1260" w:type="dxa"/>
            <w:vAlign w:val="center"/>
          </w:tcPr>
          <w:p w14:paraId="59FA63F9" w14:textId="13A9F5F2" w:rsidR="00F71A09" w:rsidRPr="006D225A" w:rsidRDefault="00C73FF4" w:rsidP="00C73FF4">
            <w:pPr>
              <w:pStyle w:val="BodyText"/>
              <w:widowControl w:val="0"/>
              <w:spacing w:after="0"/>
              <w:jc w:val="center"/>
              <w:rPr>
                <w:sz w:val="20"/>
              </w:rPr>
            </w:pPr>
            <w:r>
              <w:rPr>
                <w:sz w:val="20"/>
              </w:rPr>
              <w:t>$1,500</w:t>
            </w:r>
          </w:p>
        </w:tc>
      </w:tr>
    </w:tbl>
    <w:p w14:paraId="0B35538E" w14:textId="67552741" w:rsidR="00C847F2" w:rsidRDefault="00C847F2" w:rsidP="00C847F2">
      <w:pPr>
        <w:spacing w:after="200" w:line="276" w:lineRule="auto"/>
      </w:pPr>
    </w:p>
    <w:sectPr w:rsidR="00C847F2" w:rsidSect="009225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0E07"/>
    <w:multiLevelType w:val="hybridMultilevel"/>
    <w:tmpl w:val="9176FC22"/>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 w15:restartNumberingAfterBreak="0">
    <w:nsid w:val="164E5949"/>
    <w:multiLevelType w:val="hybridMultilevel"/>
    <w:tmpl w:val="93E09982"/>
    <w:lvl w:ilvl="0" w:tplc="833899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4A71C2"/>
    <w:multiLevelType w:val="hybridMultilevel"/>
    <w:tmpl w:val="314A5A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2437BE"/>
    <w:multiLevelType w:val="multilevel"/>
    <w:tmpl w:val="7B4CA812"/>
    <w:lvl w:ilvl="0">
      <w:start w:val="401"/>
      <w:numFmt w:val="decimal"/>
      <w:lvlText w:val="%1"/>
      <w:lvlJc w:val="left"/>
      <w:pPr>
        <w:tabs>
          <w:tab w:val="num" w:pos="780"/>
        </w:tabs>
        <w:ind w:left="780" w:hanging="780"/>
      </w:pPr>
      <w:rPr>
        <w:rFonts w:hint="default"/>
        <w:b/>
      </w:rPr>
    </w:lvl>
    <w:lvl w:ilvl="1">
      <w:start w:val="8"/>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56959DA"/>
    <w:multiLevelType w:val="multilevel"/>
    <w:tmpl w:val="8F0EA1D4"/>
    <w:lvl w:ilvl="0">
      <w:start w:val="401"/>
      <w:numFmt w:val="decimal"/>
      <w:lvlText w:val="%1"/>
      <w:lvlJc w:val="left"/>
      <w:pPr>
        <w:tabs>
          <w:tab w:val="num" w:pos="660"/>
        </w:tabs>
        <w:ind w:left="660" w:hanging="660"/>
      </w:pPr>
      <w:rPr>
        <w:rFonts w:hint="default"/>
        <w:b/>
      </w:rPr>
    </w:lvl>
    <w:lvl w:ilvl="1">
      <w:start w:val="8"/>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32DC4E5D"/>
    <w:multiLevelType w:val="hybridMultilevel"/>
    <w:tmpl w:val="F2F67F7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43527195"/>
    <w:multiLevelType w:val="hybridMultilevel"/>
    <w:tmpl w:val="44D883EC"/>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7" w15:restartNumberingAfterBreak="0">
    <w:nsid w:val="47747E58"/>
    <w:multiLevelType w:val="hybridMultilevel"/>
    <w:tmpl w:val="A0D24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9C37AFE"/>
    <w:multiLevelType w:val="hybridMultilevel"/>
    <w:tmpl w:val="6958D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724A5"/>
    <w:multiLevelType w:val="hybridMultilevel"/>
    <w:tmpl w:val="FB301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1036FB"/>
    <w:multiLevelType w:val="hybridMultilevel"/>
    <w:tmpl w:val="758AA87A"/>
    <w:lvl w:ilvl="0" w:tplc="DDB4F554">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A27836"/>
    <w:multiLevelType w:val="multilevel"/>
    <w:tmpl w:val="01242A66"/>
    <w:lvl w:ilvl="0">
      <w:start w:val="401"/>
      <w:numFmt w:val="decimal"/>
      <w:lvlText w:val="%1"/>
      <w:lvlJc w:val="left"/>
      <w:pPr>
        <w:tabs>
          <w:tab w:val="num" w:pos="780"/>
        </w:tabs>
        <w:ind w:left="780" w:hanging="780"/>
      </w:pPr>
      <w:rPr>
        <w:rFonts w:hint="default"/>
        <w:b/>
      </w:rPr>
    </w:lvl>
    <w:lvl w:ilvl="1">
      <w:start w:val="9"/>
      <w:numFmt w:val="decimalZero"/>
      <w:lvlText w:val="%1.%2"/>
      <w:lvlJc w:val="left"/>
      <w:pPr>
        <w:tabs>
          <w:tab w:val="num" w:pos="780"/>
        </w:tabs>
        <w:ind w:left="780" w:hanging="780"/>
      </w:pPr>
      <w:rPr>
        <w:rFonts w:hint="default"/>
        <w:b/>
      </w:rPr>
    </w:lvl>
    <w:lvl w:ilvl="2">
      <w:start w:val="1"/>
      <w:numFmt w:val="decimal"/>
      <w:lvlText w:val="%1.%2.%3"/>
      <w:lvlJc w:val="left"/>
      <w:pPr>
        <w:tabs>
          <w:tab w:val="num" w:pos="780"/>
        </w:tabs>
        <w:ind w:left="780" w:hanging="780"/>
      </w:pPr>
      <w:rPr>
        <w:rFonts w:hint="default"/>
        <w:b/>
      </w:rPr>
    </w:lvl>
    <w:lvl w:ilvl="3">
      <w:start w:val="1"/>
      <w:numFmt w:val="decimal"/>
      <w:lvlText w:val="%1.%2.%3.%4"/>
      <w:lvlJc w:val="left"/>
      <w:pPr>
        <w:tabs>
          <w:tab w:val="num" w:pos="780"/>
        </w:tabs>
        <w:ind w:left="780" w:hanging="7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6E544C58"/>
    <w:multiLevelType w:val="hybridMultilevel"/>
    <w:tmpl w:val="2146F9E6"/>
    <w:lvl w:ilvl="0" w:tplc="515C9A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614C59"/>
    <w:multiLevelType w:val="hybridMultilevel"/>
    <w:tmpl w:val="65C80404"/>
    <w:lvl w:ilvl="0" w:tplc="2C726DE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5933AE"/>
    <w:multiLevelType w:val="multilevel"/>
    <w:tmpl w:val="900CB21A"/>
    <w:lvl w:ilvl="0">
      <w:start w:val="401"/>
      <w:numFmt w:val="decimal"/>
      <w:lvlText w:val="%1"/>
      <w:lvlJc w:val="left"/>
      <w:pPr>
        <w:tabs>
          <w:tab w:val="num" w:pos="660"/>
        </w:tabs>
        <w:ind w:left="660" w:hanging="660"/>
      </w:pPr>
      <w:rPr>
        <w:rFonts w:hint="default"/>
        <w:b/>
      </w:rPr>
    </w:lvl>
    <w:lvl w:ilvl="1">
      <w:start w:val="9"/>
      <w:numFmt w:val="decimalZero"/>
      <w:lvlText w:val="%1.%2"/>
      <w:lvlJc w:val="left"/>
      <w:pPr>
        <w:tabs>
          <w:tab w:val="num" w:pos="660"/>
        </w:tabs>
        <w:ind w:left="660" w:hanging="6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234241688">
    <w:abstractNumId w:val="13"/>
  </w:num>
  <w:num w:numId="2" w16cid:durableId="1807235467">
    <w:abstractNumId w:val="3"/>
  </w:num>
  <w:num w:numId="3" w16cid:durableId="598491889">
    <w:abstractNumId w:val="4"/>
  </w:num>
  <w:num w:numId="4" w16cid:durableId="134882020">
    <w:abstractNumId w:val="11"/>
  </w:num>
  <w:num w:numId="5" w16cid:durableId="1640383706">
    <w:abstractNumId w:val="15"/>
  </w:num>
  <w:num w:numId="6" w16cid:durableId="605312547">
    <w:abstractNumId w:val="5"/>
  </w:num>
  <w:num w:numId="7" w16cid:durableId="261303834">
    <w:abstractNumId w:val="10"/>
  </w:num>
  <w:num w:numId="8" w16cid:durableId="51317093">
    <w:abstractNumId w:val="7"/>
  </w:num>
  <w:num w:numId="9" w16cid:durableId="705834915">
    <w:abstractNumId w:val="14"/>
  </w:num>
  <w:num w:numId="10" w16cid:durableId="1153106659">
    <w:abstractNumId w:val="12"/>
  </w:num>
  <w:num w:numId="11" w16cid:durableId="1695420458">
    <w:abstractNumId w:val="1"/>
  </w:num>
  <w:num w:numId="12" w16cid:durableId="1616330185">
    <w:abstractNumId w:val="9"/>
  </w:num>
  <w:num w:numId="13" w16cid:durableId="1674795534">
    <w:abstractNumId w:val="6"/>
  </w:num>
  <w:num w:numId="14" w16cid:durableId="122383143">
    <w:abstractNumId w:val="2"/>
  </w:num>
  <w:num w:numId="15" w16cid:durableId="63770531">
    <w:abstractNumId w:val="0"/>
  </w:num>
  <w:num w:numId="16" w16cid:durableId="20618296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3480A"/>
    <w:rsid w:val="00054023"/>
    <w:rsid w:val="000F2456"/>
    <w:rsid w:val="00150587"/>
    <w:rsid w:val="00153267"/>
    <w:rsid w:val="001A160D"/>
    <w:rsid w:val="001C7C88"/>
    <w:rsid w:val="00242392"/>
    <w:rsid w:val="00247308"/>
    <w:rsid w:val="00266583"/>
    <w:rsid w:val="00272E11"/>
    <w:rsid w:val="002B4A39"/>
    <w:rsid w:val="002C677B"/>
    <w:rsid w:val="00300FF7"/>
    <w:rsid w:val="00330ADD"/>
    <w:rsid w:val="0037491A"/>
    <w:rsid w:val="00386E8B"/>
    <w:rsid w:val="003F444A"/>
    <w:rsid w:val="00462E85"/>
    <w:rsid w:val="0049264F"/>
    <w:rsid w:val="004A37EB"/>
    <w:rsid w:val="004F5774"/>
    <w:rsid w:val="005977C8"/>
    <w:rsid w:val="005E05B1"/>
    <w:rsid w:val="0065199E"/>
    <w:rsid w:val="006858D1"/>
    <w:rsid w:val="006866AE"/>
    <w:rsid w:val="006F1AA4"/>
    <w:rsid w:val="006F2315"/>
    <w:rsid w:val="007D4483"/>
    <w:rsid w:val="0086167C"/>
    <w:rsid w:val="00884AD5"/>
    <w:rsid w:val="008B7A1D"/>
    <w:rsid w:val="008F0FEE"/>
    <w:rsid w:val="0091065A"/>
    <w:rsid w:val="00922521"/>
    <w:rsid w:val="00943C66"/>
    <w:rsid w:val="00945CED"/>
    <w:rsid w:val="009E41AD"/>
    <w:rsid w:val="009E48A8"/>
    <w:rsid w:val="00A05FCD"/>
    <w:rsid w:val="00B0486D"/>
    <w:rsid w:val="00B82C2B"/>
    <w:rsid w:val="00C0453E"/>
    <w:rsid w:val="00C2556D"/>
    <w:rsid w:val="00C73FF4"/>
    <w:rsid w:val="00C847F2"/>
    <w:rsid w:val="00C864EA"/>
    <w:rsid w:val="00C93DD9"/>
    <w:rsid w:val="00D037C3"/>
    <w:rsid w:val="00D068FF"/>
    <w:rsid w:val="00D23608"/>
    <w:rsid w:val="00D7239B"/>
    <w:rsid w:val="00D8627C"/>
    <w:rsid w:val="00DA4203"/>
    <w:rsid w:val="00E42FD8"/>
    <w:rsid w:val="00E56164"/>
    <w:rsid w:val="00EE1DDA"/>
    <w:rsid w:val="00EF3A7C"/>
    <w:rsid w:val="00F40B20"/>
    <w:rsid w:val="00F52E08"/>
    <w:rsid w:val="00F71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47F2"/>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9264F"/>
    <w:rPr>
      <w:rFonts w:ascii="Times New Roman" w:eastAsia="Times New Roman" w:hAnsi="Times New Roman" w:cs="Times New Roman"/>
      <w:sz w:val="20"/>
      <w:szCs w:val="20"/>
    </w:rPr>
  </w:style>
  <w:style w:type="character" w:styleId="CommentReference">
    <w:name w:val="annotation reference"/>
    <w:basedOn w:val="DefaultParagraphFont"/>
    <w:unhideWhenUsed/>
    <w:rsid w:val="0049264F"/>
    <w:rPr>
      <w:sz w:val="16"/>
      <w:szCs w:val="16"/>
    </w:rPr>
  </w:style>
  <w:style w:type="paragraph" w:styleId="PlainText">
    <w:name w:val="Plain Text"/>
    <w:basedOn w:val="Normal"/>
    <w:link w:val="PlainTextChar"/>
    <w:rsid w:val="00945C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45CED"/>
    <w:rPr>
      <w:rFonts w:ascii="Courier New" w:eastAsia="Times New Roman" w:hAnsi="Courier New" w:cs="Times New Roman"/>
      <w:sz w:val="20"/>
      <w:szCs w:val="20"/>
    </w:rPr>
  </w:style>
  <w:style w:type="character" w:customStyle="1" w:styleId="Heading1Char">
    <w:name w:val="Heading 1 Char"/>
    <w:basedOn w:val="DefaultParagraphFont"/>
    <w:link w:val="Heading1"/>
    <w:rsid w:val="00C847F2"/>
    <w:rPr>
      <w:rFonts w:ascii="Cambria" w:eastAsia="Times New Roman" w:hAnsi="Cambria" w:cs="Times New Roman"/>
      <w:b/>
      <w:bCs/>
      <w:kern w:val="32"/>
      <w:sz w:val="32"/>
      <w:szCs w:val="32"/>
    </w:rPr>
  </w:style>
  <w:style w:type="paragraph" w:customStyle="1" w:styleId="bodytext1">
    <w:name w:val="body text 1"/>
    <w:link w:val="bodytext1Char"/>
    <w:rsid w:val="00C847F2"/>
    <w:pPr>
      <w:spacing w:after="200" w:line="240" w:lineRule="atLeast"/>
      <w:jc w:val="both"/>
    </w:pPr>
    <w:rPr>
      <w:rFonts w:ascii="Times New Roman" w:eastAsia="Times New Roman" w:hAnsi="Times New Roman" w:cs="Times New Roman"/>
      <w:spacing w:val="-2"/>
      <w:sz w:val="20"/>
      <w:szCs w:val="20"/>
    </w:rPr>
  </w:style>
  <w:style w:type="paragraph" w:customStyle="1" w:styleId="indentbodytext2">
    <w:name w:val="indent body text 2"/>
    <w:basedOn w:val="Normal"/>
    <w:rsid w:val="00C847F2"/>
    <w:pPr>
      <w:widowControl w:val="0"/>
      <w:autoSpaceDE w:val="0"/>
      <w:autoSpaceDN w:val="0"/>
      <w:adjustRightInd w:val="0"/>
      <w:spacing w:after="120" w:line="240" w:lineRule="auto"/>
      <w:ind w:left="720"/>
      <w:jc w:val="both"/>
    </w:pPr>
    <w:rPr>
      <w:rFonts w:ascii="Times New Roman" w:eastAsia="Times New Roman" w:hAnsi="Times New Roman" w:cs="Times New Roman"/>
      <w:sz w:val="20"/>
      <w:szCs w:val="20"/>
    </w:rPr>
  </w:style>
  <w:style w:type="paragraph" w:customStyle="1" w:styleId="table10text">
    <w:name w:val="table 10 text"/>
    <w:basedOn w:val="Normal"/>
    <w:link w:val="table10textChar"/>
    <w:uiPriority w:val="99"/>
    <w:rsid w:val="00C847F2"/>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table" w:styleId="TableGrid">
    <w:name w:val="Table Grid"/>
    <w:basedOn w:val="TableNormal"/>
    <w:uiPriority w:val="59"/>
    <w:rsid w:val="00C847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maintext">
    <w:name w:val="main text"/>
    <w:basedOn w:val="Normal"/>
    <w:link w:val="maintextChar"/>
    <w:rsid w:val="00C847F2"/>
    <w:pPr>
      <w:spacing w:after="240" w:line="240" w:lineRule="auto"/>
      <w:jc w:val="both"/>
    </w:pPr>
    <w:rPr>
      <w:rFonts w:ascii="Times New Roman" w:eastAsia="Times New Roman" w:hAnsi="Times New Roman" w:cs="Times New Roman"/>
      <w:sz w:val="24"/>
      <w:szCs w:val="24"/>
    </w:rPr>
  </w:style>
  <w:style w:type="paragraph" w:customStyle="1" w:styleId="Indent1">
    <w:name w:val="Indent_1"/>
    <w:basedOn w:val="Normal"/>
    <w:rsid w:val="00C847F2"/>
    <w:pPr>
      <w:spacing w:after="240" w:line="240" w:lineRule="auto"/>
      <w:ind w:left="432"/>
      <w:jc w:val="both"/>
    </w:pPr>
    <w:rPr>
      <w:rFonts w:ascii="Times New Roman" w:eastAsia="Times New Roman" w:hAnsi="Times New Roman" w:cs="Times New Roman"/>
      <w:sz w:val="24"/>
      <w:szCs w:val="24"/>
    </w:rPr>
  </w:style>
  <w:style w:type="paragraph" w:customStyle="1" w:styleId="indent2">
    <w:name w:val="indent_2"/>
    <w:basedOn w:val="Normal"/>
    <w:rsid w:val="00C847F2"/>
    <w:pPr>
      <w:spacing w:after="240" w:line="240" w:lineRule="auto"/>
      <w:ind w:left="864"/>
      <w:jc w:val="both"/>
    </w:pPr>
    <w:rPr>
      <w:rFonts w:ascii="Times New Roman" w:eastAsia="Times New Roman" w:hAnsi="Times New Roman" w:cs="Times New Roman"/>
      <w:bCs/>
      <w:sz w:val="24"/>
      <w:szCs w:val="24"/>
    </w:rPr>
  </w:style>
  <w:style w:type="paragraph" w:customStyle="1" w:styleId="tableheaderfont10">
    <w:name w:val="table header font 10"/>
    <w:rsid w:val="00C847F2"/>
    <w:pPr>
      <w:spacing w:after="0" w:line="240" w:lineRule="auto"/>
      <w:jc w:val="center"/>
    </w:pPr>
    <w:rPr>
      <w:rFonts w:ascii="Times New Roman" w:eastAsia="Times New Roman" w:hAnsi="Times New Roman" w:cs="Times New Roman"/>
      <w:b/>
      <w:sz w:val="20"/>
      <w:szCs w:val="20"/>
    </w:rPr>
  </w:style>
  <w:style w:type="character" w:customStyle="1" w:styleId="maintextChar">
    <w:name w:val="main text Char"/>
    <w:link w:val="maintext"/>
    <w:rsid w:val="00C847F2"/>
    <w:rPr>
      <w:rFonts w:ascii="Times New Roman" w:eastAsia="Times New Roman" w:hAnsi="Times New Roman" w:cs="Times New Roman"/>
      <w:sz w:val="24"/>
      <w:szCs w:val="24"/>
    </w:rPr>
  </w:style>
  <w:style w:type="paragraph" w:customStyle="1" w:styleId="indentbodytext1">
    <w:name w:val="indent body text 1"/>
    <w:basedOn w:val="Normal"/>
    <w:link w:val="indentbodytext1Char"/>
    <w:rsid w:val="00C847F2"/>
    <w:pPr>
      <w:spacing w:after="200" w:line="240" w:lineRule="atLeast"/>
      <w:ind w:left="360"/>
      <w:jc w:val="both"/>
    </w:pPr>
    <w:rPr>
      <w:rFonts w:ascii="Times New Roman" w:eastAsia="Times New Roman" w:hAnsi="Times New Roman" w:cs="Times New Roman"/>
      <w:bCs/>
      <w:spacing w:val="-2"/>
      <w:sz w:val="20"/>
      <w:szCs w:val="20"/>
    </w:rPr>
  </w:style>
  <w:style w:type="paragraph" w:customStyle="1" w:styleId="materialslist">
    <w:name w:val="materials list"/>
    <w:basedOn w:val="indentbodytext1"/>
    <w:rsid w:val="00C847F2"/>
    <w:pPr>
      <w:tabs>
        <w:tab w:val="left" w:pos="5040"/>
      </w:tabs>
      <w:spacing w:after="0"/>
    </w:pPr>
    <w:rPr>
      <w:bCs w:val="0"/>
    </w:rPr>
  </w:style>
  <w:style w:type="paragraph" w:customStyle="1" w:styleId="indentbodytext3">
    <w:name w:val="indent body text 3"/>
    <w:basedOn w:val="Normal"/>
    <w:rsid w:val="00C847F2"/>
    <w:pPr>
      <w:widowControl w:val="0"/>
      <w:autoSpaceDE w:val="0"/>
      <w:autoSpaceDN w:val="0"/>
      <w:adjustRightInd w:val="0"/>
      <w:spacing w:after="120" w:line="240" w:lineRule="auto"/>
      <w:ind w:left="1080"/>
      <w:jc w:val="both"/>
    </w:pPr>
    <w:rPr>
      <w:rFonts w:ascii="Times New Roman" w:eastAsia="Times New Roman" w:hAnsi="Times New Roman" w:cs="Times New Roman"/>
      <w:iCs/>
      <w:sz w:val="20"/>
      <w:szCs w:val="20"/>
    </w:rPr>
  </w:style>
  <w:style w:type="paragraph" w:customStyle="1" w:styleId="indentbodytext4">
    <w:name w:val="indent body text 4"/>
    <w:basedOn w:val="indentbodytext3"/>
    <w:rsid w:val="00C847F2"/>
    <w:pPr>
      <w:ind w:left="1440"/>
    </w:pPr>
  </w:style>
  <w:style w:type="paragraph" w:customStyle="1" w:styleId="requirementsheader">
    <w:name w:val="requirements header"/>
    <w:rsid w:val="00C847F2"/>
    <w:pPr>
      <w:spacing w:before="200" w:after="200" w:line="240" w:lineRule="auto"/>
      <w:jc w:val="center"/>
    </w:pPr>
    <w:rPr>
      <w:rFonts w:ascii="Times New Roman" w:eastAsia="Times New Roman" w:hAnsi="Times New Roman" w:cs="Times New Roman"/>
      <w:b/>
      <w:bCs/>
      <w:sz w:val="20"/>
      <w:szCs w:val="20"/>
    </w:rPr>
  </w:style>
  <w:style w:type="paragraph" w:styleId="Header">
    <w:name w:val="header"/>
    <w:aliases w:val="odd"/>
    <w:link w:val="HeaderChar"/>
    <w:uiPriority w:val="99"/>
    <w:rsid w:val="00C847F2"/>
    <w:pPr>
      <w:tabs>
        <w:tab w:val="center" w:pos="4320"/>
        <w:tab w:val="right" w:pos="8640"/>
      </w:tabs>
      <w:spacing w:after="0" w:line="240" w:lineRule="auto"/>
      <w:jc w:val="right"/>
    </w:pPr>
    <w:rPr>
      <w:rFonts w:ascii="Times New Roman" w:eastAsia="Times New Roman" w:hAnsi="Times New Roman" w:cs="Times New Roman"/>
      <w:sz w:val="16"/>
      <w:szCs w:val="20"/>
    </w:rPr>
  </w:style>
  <w:style w:type="character" w:customStyle="1" w:styleId="HeaderChar">
    <w:name w:val="Header Char"/>
    <w:aliases w:val="odd Char"/>
    <w:basedOn w:val="DefaultParagraphFont"/>
    <w:link w:val="Header"/>
    <w:uiPriority w:val="99"/>
    <w:rsid w:val="00C847F2"/>
    <w:rPr>
      <w:rFonts w:ascii="Times New Roman" w:eastAsia="Times New Roman" w:hAnsi="Times New Roman" w:cs="Times New Roman"/>
      <w:sz w:val="16"/>
      <w:szCs w:val="20"/>
    </w:rPr>
  </w:style>
  <w:style w:type="paragraph" w:customStyle="1" w:styleId="headereven">
    <w:name w:val="header even"/>
    <w:rsid w:val="00C847F2"/>
    <w:pPr>
      <w:spacing w:after="0" w:line="240" w:lineRule="auto"/>
    </w:pPr>
    <w:rPr>
      <w:rFonts w:ascii="Times New Roman" w:eastAsia="Times New Roman" w:hAnsi="Times New Roman" w:cs="Times New Roman"/>
      <w:sz w:val="16"/>
      <w:szCs w:val="18"/>
    </w:rPr>
  </w:style>
  <w:style w:type="paragraph" w:customStyle="1" w:styleId="Default">
    <w:name w:val="Default"/>
    <w:rsid w:val="00C847F2"/>
    <w:pPr>
      <w:autoSpaceDE w:val="0"/>
      <w:autoSpaceDN w:val="0"/>
      <w:adjustRightInd w:val="0"/>
      <w:spacing w:after="0" w:line="240" w:lineRule="auto"/>
    </w:pPr>
    <w:rPr>
      <w:rFonts w:ascii="Garamond" w:eastAsia="Times New Roman" w:hAnsi="Garamond" w:cs="Garamond"/>
      <w:color w:val="000000"/>
      <w:sz w:val="24"/>
      <w:szCs w:val="24"/>
    </w:rPr>
  </w:style>
  <w:style w:type="paragraph" w:styleId="Footer">
    <w:name w:val="footer"/>
    <w:basedOn w:val="Normal"/>
    <w:link w:val="FooterChar"/>
    <w:rsid w:val="00C847F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47F2"/>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C847F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C847F2"/>
    <w:rPr>
      <w:rFonts w:ascii="Tahoma" w:eastAsia="Times New Roman" w:hAnsi="Tahoma" w:cs="Tahoma"/>
      <w:sz w:val="16"/>
      <w:szCs w:val="16"/>
    </w:rPr>
  </w:style>
  <w:style w:type="character" w:styleId="Hyperlink">
    <w:name w:val="Hyperlink"/>
    <w:rsid w:val="00C847F2"/>
    <w:rPr>
      <w:color w:val="0000FF"/>
      <w:u w:val="single"/>
    </w:rPr>
  </w:style>
  <w:style w:type="character" w:styleId="FollowedHyperlink">
    <w:name w:val="FollowedHyperlink"/>
    <w:rsid w:val="00C847F2"/>
    <w:rPr>
      <w:color w:val="800080"/>
      <w:u w:val="single"/>
    </w:rPr>
  </w:style>
  <w:style w:type="paragraph" w:styleId="CommentSubject">
    <w:name w:val="annotation subject"/>
    <w:basedOn w:val="CommentText"/>
    <w:next w:val="CommentText"/>
    <w:link w:val="CommentSubjectChar"/>
    <w:rsid w:val="00C847F2"/>
    <w:pPr>
      <w:widowControl/>
      <w:autoSpaceDE/>
      <w:autoSpaceDN/>
      <w:adjustRightInd/>
    </w:pPr>
    <w:rPr>
      <w:b/>
      <w:bCs/>
    </w:rPr>
  </w:style>
  <w:style w:type="character" w:customStyle="1" w:styleId="CommentSubjectChar">
    <w:name w:val="Comment Subject Char"/>
    <w:basedOn w:val="CommentTextChar"/>
    <w:link w:val="CommentSubject"/>
    <w:rsid w:val="00C847F2"/>
    <w:rPr>
      <w:rFonts w:ascii="Times New Roman" w:eastAsia="Times New Roman" w:hAnsi="Times New Roman" w:cs="Times New Roman"/>
      <w:b/>
      <w:bCs/>
      <w:sz w:val="20"/>
      <w:szCs w:val="20"/>
    </w:rPr>
  </w:style>
  <w:style w:type="character" w:customStyle="1" w:styleId="bodytext1Char">
    <w:name w:val="body text 1 Char"/>
    <w:basedOn w:val="DefaultParagraphFont"/>
    <w:link w:val="bodytext1"/>
    <w:locked/>
    <w:rsid w:val="00C847F2"/>
    <w:rPr>
      <w:rFonts w:ascii="Times New Roman" w:eastAsia="Times New Roman" w:hAnsi="Times New Roman" w:cs="Times New Roman"/>
      <w:spacing w:val="-2"/>
      <w:sz w:val="20"/>
      <w:szCs w:val="20"/>
    </w:rPr>
  </w:style>
  <w:style w:type="character" w:customStyle="1" w:styleId="indentbodytext1Char">
    <w:name w:val="indent body text 1 Char"/>
    <w:link w:val="indentbodytext1"/>
    <w:rsid w:val="00C847F2"/>
    <w:rPr>
      <w:rFonts w:ascii="Times New Roman" w:eastAsia="Times New Roman" w:hAnsi="Times New Roman" w:cs="Times New Roman"/>
      <w:bCs/>
      <w:spacing w:val="-2"/>
      <w:sz w:val="20"/>
      <w:szCs w:val="20"/>
    </w:rPr>
  </w:style>
  <w:style w:type="character" w:customStyle="1" w:styleId="table10textChar">
    <w:name w:val="table 10 text Char"/>
    <w:basedOn w:val="DefaultParagraphFont"/>
    <w:link w:val="table10text"/>
    <w:uiPriority w:val="99"/>
    <w:rsid w:val="00C847F2"/>
    <w:rPr>
      <w:rFonts w:ascii="Times New Roman" w:eastAsia="Times New Roman" w:hAnsi="Times New Roman" w:cs="Times New Roman"/>
      <w:sz w:val="20"/>
      <w:szCs w:val="20"/>
    </w:rPr>
  </w:style>
  <w:style w:type="paragraph" w:styleId="Revision">
    <w:name w:val="Revision"/>
    <w:hidden/>
    <w:uiPriority w:val="99"/>
    <w:semiHidden/>
    <w:rsid w:val="00462E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8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401: Asphalt Concrete Pavement by Gyratory Mix Design Method</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Asphalt Concrete Pavement by Gyratory Mix Design Method</dc:title>
  <dc:subject/>
  <dc:creator>FHWA</dc:creator>
  <cp:keywords/>
  <dc:description/>
  <cp:lastModifiedBy>Black, Christine (FHWA)</cp:lastModifiedBy>
  <cp:revision>21</cp:revision>
  <dcterms:created xsi:type="dcterms:W3CDTF">2023-12-14T23:47:00Z</dcterms:created>
  <dcterms:modified xsi:type="dcterms:W3CDTF">2025-02-24T22:27:00Z</dcterms:modified>
</cp:coreProperties>
</file>