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CDA74" w14:textId="5E7ECB8C" w:rsidR="00CF44E6" w:rsidRDefault="00245838" w:rsidP="00CF44E6">
      <w:pPr>
        <w:pStyle w:val="BodyText"/>
        <w:spacing w:after="0"/>
        <w:jc w:val="right"/>
        <w:rPr>
          <w:vanish/>
        </w:rPr>
      </w:pPr>
      <w:r>
        <w:rPr>
          <w:vanish/>
        </w:rPr>
        <w:t>02</w:t>
      </w:r>
      <w:r w:rsidR="00CF44E6">
        <w:rPr>
          <w:vanish/>
        </w:rPr>
        <w:t>/</w:t>
      </w:r>
      <w:r>
        <w:rPr>
          <w:vanish/>
        </w:rPr>
        <w:t>25</w:t>
      </w:r>
      <w:r w:rsidR="00CF44E6">
        <w:rPr>
          <w:vanish/>
        </w:rPr>
        <w:t>/202</w:t>
      </w:r>
      <w:r>
        <w:rPr>
          <w:vanish/>
        </w:rPr>
        <w:t>5</w:t>
      </w:r>
    </w:p>
    <w:p w14:paraId="011A27CA" w14:textId="36235FC7" w:rsidR="002C677B" w:rsidRDefault="009E48A8" w:rsidP="009E48A8">
      <w:pPr>
        <w:pStyle w:val="Heading2"/>
      </w:pPr>
      <w:r>
        <w:t xml:space="preserve">Section </w:t>
      </w:r>
      <w:r w:rsidR="00D43CEF">
        <w:t>109</w:t>
      </w:r>
      <w:r>
        <w:t xml:space="preserve">. </w:t>
      </w:r>
      <w:r w:rsidR="005335C4" w:rsidRPr="003A33E2">
        <w:t>—</w:t>
      </w:r>
      <w:r>
        <w:t xml:space="preserve"> </w:t>
      </w:r>
      <w:r w:rsidR="00D43CEF">
        <w:t>MEASUREMENT AND PAYMENT</w:t>
      </w:r>
    </w:p>
    <w:p w14:paraId="42D0969D" w14:textId="189C697D" w:rsidR="00B02A8E" w:rsidRPr="00C06441" w:rsidRDefault="00B02A8E" w:rsidP="000E520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Include if project has quantities split between funding sources (for example FLAP and ERFO)</w:t>
      </w:r>
      <w:r w:rsidRPr="00C06441">
        <w:rPr>
          <w:rFonts w:ascii="Times New Roman" w:eastAsia="MS Mincho" w:hAnsi="Times New Roman"/>
          <w:bCs/>
          <w:vanish/>
          <w:sz w:val="24"/>
          <w:szCs w:val="24"/>
        </w:rPr>
        <w:t>.</w:t>
      </w:r>
      <w:r>
        <w:rPr>
          <w:rFonts w:ascii="Times New Roman" w:eastAsia="MS Mincho" w:hAnsi="Times New Roman"/>
          <w:bCs/>
          <w:vanish/>
          <w:sz w:val="24"/>
          <w:szCs w:val="24"/>
        </w:rPr>
        <w:t xml:space="preserve"> Not required if funding sources are separated by schedule and option.</w:t>
      </w:r>
    </w:p>
    <w:p w14:paraId="74918780" w14:textId="6B896657" w:rsidR="00D43CEF" w:rsidRPr="00BF4701" w:rsidRDefault="00D43CEF" w:rsidP="0015658B">
      <w:pPr>
        <w:pStyle w:val="BodyText"/>
      </w:pPr>
      <w:r>
        <w:rPr>
          <w:b/>
          <w:bCs/>
        </w:rPr>
        <w:t>109</w:t>
      </w:r>
      <w:r w:rsidR="00DA4203">
        <w:rPr>
          <w:b/>
          <w:bCs/>
        </w:rPr>
        <w:t xml:space="preserve">.01 </w:t>
      </w:r>
      <w:r>
        <w:rPr>
          <w:b/>
          <w:bCs/>
        </w:rPr>
        <w:t xml:space="preserve">Measurement of Work. </w:t>
      </w:r>
      <w:r w:rsidRPr="0015658B">
        <w:rPr>
          <w:u w:val="single"/>
        </w:rPr>
        <w:t>Add the following after the eighth paragraph:</w:t>
      </w:r>
    </w:p>
    <w:p w14:paraId="30203CBE" w14:textId="03027B7F" w:rsidR="00D43CEF" w:rsidRDefault="00D43CEF" w:rsidP="0015658B">
      <w:pPr>
        <w:pStyle w:val="BodyText"/>
        <w:rPr>
          <w:bCs/>
        </w:rPr>
      </w:pPr>
      <w:r w:rsidRPr="00BF4701">
        <w:t xml:space="preserve">Prepare, sign, and submit electronic measurement notes (pay notes and supporting field documentation) using EEBACS. </w:t>
      </w:r>
      <w:r w:rsidR="00570E86">
        <w:t>Assign measurement note quantities to t</w:t>
      </w:r>
      <w:r w:rsidR="004D3274">
        <w:t>he correct funding source</w:t>
      </w:r>
      <w:r w:rsidR="00570E86">
        <w:t xml:space="preserve"> and account description</w:t>
      </w:r>
      <w:r w:rsidR="004D3274">
        <w:t xml:space="preserve"> </w:t>
      </w:r>
      <w:r w:rsidR="00570E86">
        <w:t>for the work performed as designated in the plans</w:t>
      </w:r>
      <w:r w:rsidR="004D3274">
        <w:t xml:space="preserve">. </w:t>
      </w:r>
      <w:r w:rsidRPr="00BF4701">
        <w:t xml:space="preserve">Measurement notes </w:t>
      </w:r>
      <w:r w:rsidRPr="00BF4701">
        <w:rPr>
          <w:bCs/>
        </w:rPr>
        <w:t>will be reviewed by the CO. Unacceptable measurement notes will be electronically rejected and returned. Correct rejected</w:t>
      </w:r>
      <w:r w:rsidRPr="00CE2947">
        <w:rPr>
          <w:bCs/>
        </w:rPr>
        <w:t xml:space="preserve"> measurement notes and resubmit electronically.</w:t>
      </w:r>
    </w:p>
    <w:p w14:paraId="44804EC8" w14:textId="41B5456A" w:rsidR="00B02A8E" w:rsidRPr="00C06441" w:rsidRDefault="00B02A8E" w:rsidP="000E5208">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Include if project does </w:t>
      </w:r>
      <w:r w:rsidR="000E5208">
        <w:rPr>
          <w:rFonts w:ascii="Times New Roman" w:eastAsia="MS Mincho" w:hAnsi="Times New Roman"/>
          <w:bCs/>
          <w:vanish/>
          <w:sz w:val="24"/>
          <w:szCs w:val="24"/>
        </w:rPr>
        <w:t>NOT</w:t>
      </w:r>
      <w:r>
        <w:rPr>
          <w:rFonts w:ascii="Times New Roman" w:eastAsia="MS Mincho" w:hAnsi="Times New Roman"/>
          <w:bCs/>
          <w:vanish/>
          <w:sz w:val="24"/>
          <w:szCs w:val="24"/>
        </w:rPr>
        <w:t xml:space="preserve"> have quantities split between funding sources. Use this for most projects.</w:t>
      </w:r>
    </w:p>
    <w:p w14:paraId="3B272C39" w14:textId="77777777" w:rsidR="004D3274" w:rsidRPr="00BF4701" w:rsidRDefault="004D3274" w:rsidP="004D3274">
      <w:pPr>
        <w:pStyle w:val="BodyText"/>
      </w:pPr>
      <w:r>
        <w:rPr>
          <w:b/>
          <w:bCs/>
        </w:rPr>
        <w:t xml:space="preserve">109.01 Measurement of Work. </w:t>
      </w:r>
      <w:r w:rsidRPr="0015658B">
        <w:rPr>
          <w:u w:val="single"/>
        </w:rPr>
        <w:t>Add the following after the eighth paragraph:</w:t>
      </w:r>
    </w:p>
    <w:p w14:paraId="68D84C9D" w14:textId="77777777" w:rsidR="004D3274" w:rsidRDefault="004D3274" w:rsidP="004D3274">
      <w:pPr>
        <w:pStyle w:val="BodyText"/>
        <w:rPr>
          <w:bCs/>
        </w:rPr>
      </w:pPr>
      <w:r w:rsidRPr="00BF4701">
        <w:t xml:space="preserve">Prepare, sign, and submit electronic measurement notes (pay notes and supporting field documentation) using EEBACS. Measurement notes </w:t>
      </w:r>
      <w:r w:rsidRPr="00BF4701">
        <w:rPr>
          <w:bCs/>
        </w:rPr>
        <w:t>will be reviewed by the CO. Unacceptable measurement notes will be electronically rejected and returned. Correct rejected</w:t>
      </w:r>
      <w:r w:rsidRPr="00CE2947">
        <w:rPr>
          <w:bCs/>
        </w:rPr>
        <w:t xml:space="preserve"> measurement notes and resubmit electronically.</w:t>
      </w:r>
    </w:p>
    <w:p w14:paraId="61611B50" w14:textId="77777777" w:rsidR="008C3BA6" w:rsidRPr="007F2CCC" w:rsidRDefault="008C3BA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i/>
          <w:iCs/>
          <w:vanish/>
          <w:sz w:val="24"/>
          <w:szCs w:val="24"/>
        </w:rPr>
      </w:pPr>
      <w:r w:rsidRPr="007F2CCC">
        <w:rPr>
          <w:rFonts w:ascii="Times New Roman" w:eastAsia="MS Mincho" w:hAnsi="Times New Roman"/>
          <w:bCs/>
          <w:i/>
          <w:iCs/>
          <w:vanish/>
          <w:sz w:val="24"/>
          <w:szCs w:val="24"/>
        </w:rPr>
        <w:t>Asphalt Binder Price Adjustment Provision</w:t>
      </w:r>
    </w:p>
    <w:p w14:paraId="669B99C0" w14:textId="45CCD071" w:rsidR="008C3BA6" w:rsidRPr="009E27E8" w:rsidRDefault="009E27E8"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7F2CCC">
        <w:rPr>
          <w:rFonts w:ascii="Times New Roman" w:eastAsia="MS Mincho" w:hAnsi="Times New Roman"/>
          <w:bCs/>
          <w:vanish/>
          <w:sz w:val="24"/>
          <w:szCs w:val="24"/>
        </w:rPr>
        <w:t xml:space="preserve">Include if </w:t>
      </w:r>
      <w:proofErr w:type="gramStart"/>
      <w:r w:rsidRPr="007F2CCC">
        <w:rPr>
          <w:rFonts w:ascii="Times New Roman" w:eastAsia="MS Mincho" w:hAnsi="Times New Roman"/>
          <w:bCs/>
          <w:vanish/>
          <w:sz w:val="24"/>
          <w:szCs w:val="24"/>
        </w:rPr>
        <w:t>all of</w:t>
      </w:r>
      <w:proofErr w:type="gramEnd"/>
      <w:r w:rsidRPr="007F2CCC">
        <w:rPr>
          <w:rFonts w:ascii="Times New Roman" w:eastAsia="MS Mincho" w:hAnsi="Times New Roman"/>
          <w:bCs/>
          <w:vanish/>
          <w:sz w:val="24"/>
          <w:szCs w:val="24"/>
        </w:rPr>
        <w:t xml:space="preserve"> the following apply:</w:t>
      </w:r>
    </w:p>
    <w:p w14:paraId="0CD0FB32" w14:textId="5D6568B3" w:rsidR="008C3BA6" w:rsidRPr="00C06441" w:rsidRDefault="008C3BA6"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(a) </w:t>
      </w:r>
      <w:r w:rsidR="007B6E60">
        <w:rPr>
          <w:rFonts w:ascii="Times New Roman" w:eastAsia="MS Mincho" w:hAnsi="Times New Roman"/>
          <w:bCs/>
          <w:vanish/>
          <w:sz w:val="24"/>
          <w:szCs w:val="24"/>
        </w:rPr>
        <w:t>Duration longer than 1 year</w:t>
      </w:r>
    </w:p>
    <w:p w14:paraId="37B98405" w14:textId="42C7DE82" w:rsidR="008C3BA6" w:rsidRPr="00C06441" w:rsidRDefault="008C3BA6" w:rsidP="007F2CCC">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(b) </w:t>
      </w:r>
      <w:r w:rsidR="00B076CE">
        <w:rPr>
          <w:rFonts w:ascii="Times New Roman" w:eastAsia="MS Mincho" w:hAnsi="Times New Roman"/>
          <w:bCs/>
          <w:vanish/>
          <w:sz w:val="24"/>
          <w:szCs w:val="24"/>
        </w:rPr>
        <w:t>Construction Cost</w:t>
      </w:r>
      <w:r w:rsidR="007B6E60">
        <w:rPr>
          <w:rFonts w:ascii="Times New Roman" w:eastAsia="MS Mincho" w:hAnsi="Times New Roman"/>
          <w:bCs/>
          <w:vanish/>
          <w:sz w:val="24"/>
          <w:szCs w:val="24"/>
        </w:rPr>
        <w:t xml:space="preserve"> Estimate more than $5 million</w:t>
      </w:r>
    </w:p>
    <w:p w14:paraId="0A9D7554" w14:textId="3F1DA092" w:rsidR="008C3BA6" w:rsidRPr="00C06441" w:rsidRDefault="008C3BA6"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(c) </w:t>
      </w:r>
      <w:r w:rsidR="007B6E60">
        <w:rPr>
          <w:rFonts w:ascii="Times New Roman" w:eastAsia="MS Mincho" w:hAnsi="Times New Roman"/>
          <w:bCs/>
          <w:vanish/>
          <w:sz w:val="24"/>
          <w:szCs w:val="24"/>
        </w:rPr>
        <w:t>Approved by the COE and PM</w:t>
      </w:r>
    </w:p>
    <w:p w14:paraId="177C71E3" w14:textId="5E87D952" w:rsidR="00D43CEF" w:rsidRDefault="00D43CEF" w:rsidP="0015658B">
      <w:pPr>
        <w:pStyle w:val="BodyText"/>
        <w:rPr>
          <w:b/>
          <w:bCs/>
        </w:rPr>
      </w:pPr>
      <w:r w:rsidRPr="0015658B">
        <w:rPr>
          <w:b/>
          <w:bCs/>
        </w:rPr>
        <w:t>109.06</w:t>
      </w:r>
      <w:r w:rsidR="00C06441">
        <w:rPr>
          <w:b/>
          <w:bCs/>
        </w:rPr>
        <w:t>A</w:t>
      </w:r>
      <w:r w:rsidRPr="0015658B">
        <w:rPr>
          <w:b/>
          <w:bCs/>
        </w:rPr>
        <w:t xml:space="preserve"> </w:t>
      </w:r>
      <w:r w:rsidR="00C06441">
        <w:rPr>
          <w:b/>
          <w:bCs/>
        </w:rPr>
        <w:t xml:space="preserve">Asphalt Binder </w:t>
      </w:r>
      <w:r w:rsidRPr="0015658B">
        <w:rPr>
          <w:b/>
          <w:bCs/>
        </w:rPr>
        <w:t>Pric</w:t>
      </w:r>
      <w:r w:rsidR="00C06441">
        <w:rPr>
          <w:b/>
          <w:bCs/>
        </w:rPr>
        <w:t>e</w:t>
      </w:r>
      <w:r w:rsidRPr="0015658B">
        <w:rPr>
          <w:b/>
          <w:bCs/>
        </w:rPr>
        <w:t xml:space="preserve"> Adjustment</w:t>
      </w:r>
      <w:r w:rsidR="00C06441">
        <w:rPr>
          <w:b/>
          <w:bCs/>
        </w:rPr>
        <w:t xml:space="preserve"> Provision</w:t>
      </w:r>
      <w:r w:rsidRPr="0015658B">
        <w:rPr>
          <w:b/>
          <w:bCs/>
        </w:rPr>
        <w:t>.</w:t>
      </w:r>
      <w:r w:rsidR="00E03BAC">
        <w:rPr>
          <w:b/>
          <w:bCs/>
        </w:rPr>
        <w:t xml:space="preserve"> </w:t>
      </w:r>
      <w:r w:rsidR="00E03BAC" w:rsidRPr="00E03BAC">
        <w:t>(</w:t>
      </w:r>
      <w:r w:rsidR="00E03BAC" w:rsidRPr="00E03BAC">
        <w:rPr>
          <w:u w:val="single"/>
        </w:rPr>
        <w:t>Added Subsection</w:t>
      </w:r>
      <w:r w:rsidR="00E03BAC" w:rsidRPr="00E03BAC">
        <w:t>).</w:t>
      </w:r>
    </w:p>
    <w:p w14:paraId="0462E202" w14:textId="531F2EE5" w:rsidR="00D43CEF" w:rsidRDefault="00246DBB" w:rsidP="007F2CCC">
      <w:pPr>
        <w:pStyle w:val="BodyText"/>
        <w:ind w:left="360"/>
      </w:pPr>
      <w:r>
        <w:rPr>
          <w:b/>
          <w:bCs/>
        </w:rPr>
        <w:t xml:space="preserve">(a) General. </w:t>
      </w:r>
      <w:r w:rsidR="00D43CEF">
        <w:t>The Asphalt Binder Price Adjustment Provision provides for a price adjustment in the form of payment to the Contractor or a rebate to the Government for fluctuations in the cost of asphalt binder used in the performance of applicable construction work. Price adjustment provisions are applicable only to the asphalt binder, as defined in S</w:t>
      </w:r>
      <w:r w:rsidR="00D454FB">
        <w:t>ubs</w:t>
      </w:r>
      <w:r w:rsidR="00D43CEF">
        <w:t>ection 702.01, and incorporated in the following contract pay items:</w:t>
      </w:r>
    </w:p>
    <w:p w14:paraId="774326AA" w14:textId="6E56F34F" w:rsidR="00912309" w:rsidRPr="00D0354E" w:rsidRDefault="00912309"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7F2CCC">
        <w:rPr>
          <w:rFonts w:ascii="Times New Roman" w:eastAsia="MS Mincho" w:hAnsi="Times New Roman"/>
          <w:bCs/>
          <w:vanish/>
          <w:sz w:val="24"/>
          <w:szCs w:val="24"/>
        </w:rPr>
        <w:t xml:space="preserve">Edit this list to contain only items that apply to the contract. </w:t>
      </w:r>
      <w:r w:rsidR="00D50476">
        <w:rPr>
          <w:rFonts w:ascii="Times New Roman" w:eastAsia="MS Mincho" w:hAnsi="Times New Roman"/>
          <w:bCs/>
          <w:vanish/>
          <w:sz w:val="24"/>
          <w:szCs w:val="24"/>
        </w:rPr>
        <w:t>B</w:t>
      </w:r>
      <w:r w:rsidRPr="007F2CCC">
        <w:rPr>
          <w:rFonts w:ascii="Times New Roman" w:eastAsia="MS Mincho" w:hAnsi="Times New Roman"/>
          <w:bCs/>
          <w:vanish/>
          <w:sz w:val="24"/>
          <w:szCs w:val="24"/>
        </w:rPr>
        <w:t>e sure to enter the correct bid item number</w:t>
      </w:r>
      <w:r w:rsidR="00D50476">
        <w:rPr>
          <w:rFonts w:ascii="Times New Roman" w:eastAsia="MS Mincho" w:hAnsi="Times New Roman"/>
          <w:bCs/>
          <w:vanish/>
          <w:sz w:val="24"/>
          <w:szCs w:val="24"/>
        </w:rPr>
        <w:t xml:space="preserve"> and </w:t>
      </w:r>
      <w:r w:rsidR="00D50476" w:rsidRPr="00985A03">
        <w:rPr>
          <w:rFonts w:ascii="Times New Roman" w:eastAsia="MS Mincho" w:hAnsi="Times New Roman"/>
          <w:bCs/>
          <w:vanish/>
          <w:sz w:val="24"/>
          <w:szCs w:val="24"/>
        </w:rPr>
        <w:t>description</w:t>
      </w:r>
      <w:r w:rsidRPr="00D0354E">
        <w:rPr>
          <w:rFonts w:ascii="Times New Roman" w:eastAsia="MS Mincho" w:hAnsi="Times New Roman"/>
          <w:bCs/>
          <w:vanish/>
          <w:sz w:val="24"/>
          <w:szCs w:val="24"/>
        </w:rPr>
        <w:t>.</w:t>
      </w:r>
    </w:p>
    <w:p w14:paraId="7E30FAF2" w14:textId="37490B82" w:rsidR="00D43CEF" w:rsidRPr="007F2CCC" w:rsidRDefault="00246DBB" w:rsidP="007F2CCC">
      <w:pPr>
        <w:pStyle w:val="BodyText"/>
        <w:spacing w:after="0"/>
        <w:ind w:left="720"/>
        <w:rPr>
          <w:highlight w:val="yellow"/>
        </w:rPr>
      </w:pPr>
      <w:r w:rsidRPr="00BF2A15">
        <w:rPr>
          <w:b/>
          <w:bCs/>
        </w:rPr>
        <w:t>(1)</w:t>
      </w:r>
      <w:r w:rsidRPr="00BF2A15">
        <w:t xml:space="preserve"> </w:t>
      </w:r>
      <w:r w:rsidR="000E5208">
        <w:rPr>
          <w:highlight w:val="yellow"/>
        </w:rPr>
        <w:t>&lt;&lt;&lt;</w:t>
      </w:r>
      <w:r w:rsidR="00D43CEF" w:rsidRPr="007F2CCC">
        <w:rPr>
          <w:highlight w:val="yellow"/>
        </w:rPr>
        <w:t>40101-</w:t>
      </w:r>
      <w:r w:rsidR="00D50476">
        <w:rPr>
          <w:highlight w:val="yellow"/>
        </w:rPr>
        <w:t>XXXX</w:t>
      </w:r>
      <w:r w:rsidR="00D43CEF" w:rsidRPr="007F2CCC">
        <w:rPr>
          <w:highlight w:val="yellow"/>
        </w:rPr>
        <w:t xml:space="preserve"> Asphalt concrete </w:t>
      </w:r>
      <w:r w:rsidR="007B6E60" w:rsidRPr="007B6E60">
        <w:rPr>
          <w:highlight w:val="yellow"/>
        </w:rPr>
        <w:t>pavement,</w:t>
      </w:r>
      <w:r w:rsidR="00BF2A15">
        <w:rPr>
          <w:highlight w:val="yellow"/>
        </w:rPr>
        <w:t xml:space="preserve"> </w:t>
      </w:r>
      <w:r w:rsidR="007B6E60" w:rsidRPr="007B6E60">
        <w:rPr>
          <w:highlight w:val="yellow"/>
        </w:rPr>
        <w:t>.</w:t>
      </w:r>
      <w:r w:rsidR="00D50476">
        <w:rPr>
          <w:highlight w:val="yellow"/>
        </w:rPr>
        <w:t>.</w:t>
      </w:r>
      <w:r w:rsidR="007B6E60">
        <w:rPr>
          <w:highlight w:val="yellow"/>
        </w:rPr>
        <w:t>..</w:t>
      </w:r>
      <w:r w:rsidR="000E5208">
        <w:rPr>
          <w:highlight w:val="yellow"/>
        </w:rPr>
        <w:t>&gt;&gt;&gt;</w:t>
      </w:r>
    </w:p>
    <w:p w14:paraId="3818045C" w14:textId="2F64ADA0" w:rsidR="00D43CEF" w:rsidRPr="007F2CCC" w:rsidRDefault="00246DBB" w:rsidP="007F2CCC">
      <w:pPr>
        <w:pStyle w:val="BodyText"/>
        <w:ind w:left="720"/>
        <w:rPr>
          <w:highlight w:val="yellow"/>
        </w:rPr>
      </w:pPr>
      <w:r w:rsidRPr="00BF2A15">
        <w:rPr>
          <w:b/>
          <w:bCs/>
        </w:rPr>
        <w:t>(2)</w:t>
      </w:r>
      <w:r w:rsidRPr="00BF2A15">
        <w:t xml:space="preserve"> </w:t>
      </w:r>
      <w:r w:rsidR="000E5208">
        <w:rPr>
          <w:highlight w:val="yellow"/>
        </w:rPr>
        <w:t>&lt;&lt;&lt;</w:t>
      </w:r>
      <w:r w:rsidR="00C74E2E" w:rsidRPr="007F2CCC">
        <w:rPr>
          <w:highlight w:val="yellow"/>
        </w:rPr>
        <w:t>40201-</w:t>
      </w:r>
      <w:r w:rsidR="00D50476">
        <w:rPr>
          <w:highlight w:val="yellow"/>
        </w:rPr>
        <w:t>XXXX</w:t>
      </w:r>
      <w:r w:rsidR="00C74E2E" w:rsidRPr="007F2CCC">
        <w:rPr>
          <w:highlight w:val="yellow"/>
        </w:rPr>
        <w:t xml:space="preserve"> Asphalt concrete pavement, </w:t>
      </w:r>
      <w:r w:rsidR="00D50476">
        <w:rPr>
          <w:highlight w:val="yellow"/>
        </w:rPr>
        <w:t>….</w:t>
      </w:r>
      <w:r w:rsidR="000E5208">
        <w:rPr>
          <w:highlight w:val="yellow"/>
        </w:rPr>
        <w:t>&gt;&gt;&gt;</w:t>
      </w:r>
    </w:p>
    <w:p w14:paraId="0D5B8982" w14:textId="7716991B" w:rsidR="00D43CEF" w:rsidRDefault="00D43CEF" w:rsidP="007F2CCC">
      <w:pPr>
        <w:pStyle w:val="BodyText"/>
        <w:ind w:left="360"/>
      </w:pPr>
      <w:r>
        <w:lastRenderedPageBreak/>
        <w:t xml:space="preserve">The price adjustment provisions are also applicable to eligible pay items when the Government adds work to the </w:t>
      </w:r>
      <w:r w:rsidR="006672F9">
        <w:t>contract</w:t>
      </w:r>
      <w:r>
        <w:t>.</w:t>
      </w:r>
    </w:p>
    <w:p w14:paraId="0833C996" w14:textId="3CCD849B" w:rsidR="00D43CEF" w:rsidRDefault="00D43CEF" w:rsidP="007F2CCC">
      <w:pPr>
        <w:pStyle w:val="BodyText"/>
        <w:ind w:left="360"/>
      </w:pPr>
      <w:r>
        <w:t xml:space="preserve">The provision will remain in effect throughout the duration of the contract. Enactment of the Asphalt Binder Price Adjustment Provision will only be considered when the </w:t>
      </w:r>
      <w:r w:rsidRPr="007F2CCC">
        <w:t>increase or decrease</w:t>
      </w:r>
      <w:r>
        <w:t xml:space="preserve"> in the price of asphalt binder exceeds 10 percent.</w:t>
      </w:r>
    </w:p>
    <w:p w14:paraId="54CEAD95" w14:textId="43147D06" w:rsidR="00D43CEF" w:rsidRDefault="00D43CEF" w:rsidP="007F2CCC">
      <w:pPr>
        <w:pStyle w:val="BodyText"/>
        <w:ind w:left="360"/>
      </w:pPr>
      <w:r>
        <w:t>The Asphalt Binder Price Adjustment Provision is intended to reduce but not eliminate the cost effects of price uncertainty to the Contractor and the Government for asphalt binder used in the construction of this contract. It provides for sharing by the Government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7E61E200" w14:textId="62100C6E" w:rsidR="000434CC" w:rsidRPr="00FD2F98" w:rsidRDefault="000434CC" w:rsidP="000434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 xml:space="preserve">Contact the Construction Support Team for the </w:t>
      </w:r>
      <w:r w:rsidRPr="000434CC">
        <w:rPr>
          <w:rFonts w:ascii="Times New Roman" w:eastAsia="MS Mincho" w:hAnsi="Times New Roman"/>
          <w:bCs/>
          <w:vanish/>
          <w:sz w:val="24"/>
          <w:szCs w:val="24"/>
          <w:highlight w:val="yellow"/>
        </w:rPr>
        <w:t xml:space="preserve">applicable </w:t>
      </w:r>
      <w:r w:rsidRPr="007F2CCC">
        <w:rPr>
          <w:rFonts w:ascii="Times New Roman" w:eastAsia="MS Mincho" w:hAnsi="Times New Roman"/>
          <w:bCs/>
          <w:vanish/>
          <w:sz w:val="24"/>
          <w:szCs w:val="24"/>
          <w:highlight w:val="yellow"/>
        </w:rPr>
        <w:t>region</w:t>
      </w:r>
      <w:r>
        <w:rPr>
          <w:rFonts w:ascii="Times New Roman" w:eastAsia="MS Mincho" w:hAnsi="Times New Roman"/>
          <w:bCs/>
          <w:vanish/>
          <w:sz w:val="24"/>
          <w:szCs w:val="24"/>
        </w:rPr>
        <w:t>.</w:t>
      </w:r>
    </w:p>
    <w:p w14:paraId="65A3D685" w14:textId="06884C81" w:rsidR="00912309" w:rsidRPr="00985A03" w:rsidRDefault="000434CC"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Style w:val="BodyTextChar"/>
          <w:vanish/>
        </w:rPr>
      </w:pPr>
      <w:r w:rsidRPr="007F2CCC">
        <w:rPr>
          <w:rFonts w:ascii="Times New Roman" w:eastAsia="MS Mincho" w:hAnsi="Times New Roman"/>
          <w:bCs/>
          <w:vanish/>
          <w:sz w:val="24"/>
          <w:szCs w:val="24"/>
        </w:rPr>
        <w:t xml:space="preserve">The Construction </w:t>
      </w:r>
      <w:r w:rsidR="00A5259E">
        <w:rPr>
          <w:rFonts w:ascii="Times New Roman" w:eastAsia="MS Mincho" w:hAnsi="Times New Roman"/>
          <w:bCs/>
          <w:vanish/>
          <w:sz w:val="24"/>
          <w:szCs w:val="24"/>
        </w:rPr>
        <w:t xml:space="preserve">Support Team </w:t>
      </w:r>
      <w:r w:rsidRPr="007F2CCC">
        <w:rPr>
          <w:rFonts w:ascii="Times New Roman" w:eastAsia="MS Mincho" w:hAnsi="Times New Roman"/>
          <w:bCs/>
          <w:vanish/>
          <w:sz w:val="24"/>
          <w:szCs w:val="24"/>
        </w:rPr>
        <w:t xml:space="preserve">will calculate and provide the </w:t>
      </w:r>
      <w:r>
        <w:rPr>
          <w:rFonts w:ascii="Times New Roman" w:eastAsia="MS Mincho" w:hAnsi="Times New Roman"/>
          <w:bCs/>
          <w:vanish/>
          <w:sz w:val="24"/>
          <w:szCs w:val="24"/>
        </w:rPr>
        <w:t>base price index</w:t>
      </w:r>
      <w:r w:rsidRPr="007F2CCC">
        <w:rPr>
          <w:rFonts w:ascii="Times New Roman" w:eastAsia="MS Mincho" w:hAnsi="Times New Roman"/>
          <w:bCs/>
          <w:vanish/>
          <w:sz w:val="24"/>
          <w:szCs w:val="24"/>
        </w:rPr>
        <w:t xml:space="preserve"> </w:t>
      </w:r>
      <w:r w:rsidR="00F71581">
        <w:rPr>
          <w:rFonts w:ascii="Times New Roman" w:eastAsia="MS Mincho" w:hAnsi="Times New Roman"/>
          <w:bCs/>
          <w:vanish/>
          <w:sz w:val="24"/>
          <w:szCs w:val="24"/>
        </w:rPr>
        <w:t>(shown in underline below in (b)(1)</w:t>
      </w:r>
      <w:r w:rsidRPr="007F2CCC">
        <w:rPr>
          <w:rFonts w:ascii="Times New Roman" w:eastAsia="MS Mincho" w:hAnsi="Times New Roman"/>
          <w:bCs/>
          <w:vanish/>
          <w:sz w:val="24"/>
          <w:szCs w:val="24"/>
        </w:rPr>
        <w:t xml:space="preserve">. The BPI </w:t>
      </w:r>
      <w:r>
        <w:rPr>
          <w:rFonts w:ascii="Times New Roman" w:eastAsia="MS Mincho" w:hAnsi="Times New Roman"/>
          <w:bCs/>
          <w:vanish/>
          <w:sz w:val="24"/>
          <w:szCs w:val="24"/>
        </w:rPr>
        <w:t xml:space="preserve">will be </w:t>
      </w:r>
      <w:r w:rsidRPr="007F2CCC">
        <w:rPr>
          <w:rFonts w:ascii="Times New Roman" w:eastAsia="MS Mincho" w:hAnsi="Times New Roman"/>
          <w:bCs/>
          <w:vanish/>
          <w:sz w:val="24"/>
          <w:szCs w:val="24"/>
        </w:rPr>
        <w:t xml:space="preserve">inserted into the spec by </w:t>
      </w:r>
      <w:r w:rsidRPr="000434CC">
        <w:rPr>
          <w:rFonts w:ascii="Times New Roman" w:eastAsia="MS Mincho" w:hAnsi="Times New Roman"/>
          <w:bCs/>
          <w:vanish/>
          <w:sz w:val="24"/>
          <w:szCs w:val="24"/>
        </w:rPr>
        <w:t>Acquisitions</w:t>
      </w:r>
      <w:r w:rsidRPr="007F2CCC">
        <w:rPr>
          <w:rFonts w:ascii="Times New Roman" w:eastAsia="MS Mincho" w:hAnsi="Times New Roman"/>
          <w:bCs/>
          <w:vanish/>
          <w:sz w:val="24"/>
          <w:szCs w:val="24"/>
        </w:rPr>
        <w:t>.</w:t>
      </w:r>
    </w:p>
    <w:p w14:paraId="1946CFAB" w14:textId="7FBB817D" w:rsidR="00D43CEF" w:rsidRPr="00C47F49" w:rsidRDefault="005624F3" w:rsidP="005624F3">
      <w:pPr>
        <w:pStyle w:val="BodyText"/>
        <w:ind w:left="360"/>
      </w:pPr>
      <w:r w:rsidRPr="007F2CCC">
        <w:rPr>
          <w:rFonts w:eastAsia="MS Mincho"/>
          <w:b/>
          <w:bCs/>
        </w:rPr>
        <w:t xml:space="preserve">(b) Price </w:t>
      </w:r>
      <w:r w:rsidR="005C1032">
        <w:rPr>
          <w:rFonts w:eastAsia="MS Mincho"/>
          <w:b/>
          <w:bCs/>
        </w:rPr>
        <w:t>i</w:t>
      </w:r>
      <w:r w:rsidRPr="007F2CCC">
        <w:rPr>
          <w:rFonts w:eastAsia="MS Mincho"/>
          <w:b/>
          <w:bCs/>
        </w:rPr>
        <w:t>ndexes.</w:t>
      </w:r>
      <w:r w:rsidR="00D43CEF">
        <w:rPr>
          <w:rFonts w:eastAsia="MS Mincho"/>
        </w:rPr>
        <w:t xml:space="preserve"> The Government will post a monthly performance price index </w:t>
      </w:r>
      <w:r w:rsidR="00D43CEF" w:rsidRPr="00D43CEF">
        <w:rPr>
          <w:rFonts w:eastAsia="MS Mincho"/>
          <w:szCs w:val="24"/>
        </w:rPr>
        <w:t xml:space="preserve">at </w:t>
      </w:r>
      <w:hyperlink r:id="rId5" w:history="1">
        <w:r w:rsidR="00D43CEF" w:rsidRPr="00D43CEF">
          <w:rPr>
            <w:rStyle w:val="Hyperlink"/>
            <w:szCs w:val="24"/>
          </w:rPr>
          <w:t>https://highways.dot.gov/federal-lands/business/escalation-factors-cfl</w:t>
        </w:r>
      </w:hyperlink>
      <w:r w:rsidR="00D43CEF">
        <w:t>.</w:t>
      </w:r>
    </w:p>
    <w:p w14:paraId="06E5CAAA" w14:textId="4FAF353A" w:rsidR="00D43CEF" w:rsidRDefault="00D43CEF" w:rsidP="007F2CCC">
      <w:pPr>
        <w:pStyle w:val="BodyText"/>
        <w:ind w:left="360"/>
        <w:rPr>
          <w:rFonts w:eastAsia="MS Mincho"/>
        </w:rPr>
      </w:pPr>
      <w:proofErr w:type="spellStart"/>
      <w:r>
        <w:rPr>
          <w:rFonts w:eastAsia="MS Mincho"/>
        </w:rPr>
        <w:t>Poten</w:t>
      </w:r>
      <w:proofErr w:type="spellEnd"/>
      <w:r>
        <w:rPr>
          <w:rFonts w:eastAsia="MS Mincho"/>
        </w:rPr>
        <w:t xml:space="preserve"> </w:t>
      </w:r>
      <w:r w:rsidR="00912309">
        <w:rPr>
          <w:rFonts w:eastAsia="MS Mincho"/>
        </w:rPr>
        <w:t>&amp;</w:t>
      </w:r>
      <w:r>
        <w:rPr>
          <w:rFonts w:eastAsia="MS Mincho"/>
        </w:rPr>
        <w:t xml:space="preserve"> Partners, Inc. publishes a weekly report (</w:t>
      </w:r>
      <w:r w:rsidR="00444565" w:rsidRPr="00551239">
        <w:rPr>
          <w:i/>
        </w:rPr>
        <w:t>Asphalt Weekly Monitor</w:t>
      </w:r>
      <w:r w:rsidR="00444565" w:rsidRPr="00551239">
        <w:rPr>
          <w:vertAlign w:val="superscript"/>
        </w:rPr>
        <w:t>®</w:t>
      </w:r>
      <w:r>
        <w:rPr>
          <w:rFonts w:eastAsia="MS Mincho"/>
        </w:rPr>
        <w:t xml:space="preserve">) on high and low </w:t>
      </w:r>
      <w:r w:rsidRPr="005460F3">
        <w:t>selling</w:t>
      </w:r>
      <w:r>
        <w:rPr>
          <w:rFonts w:eastAsia="MS Mincho"/>
        </w:rPr>
        <w:t xml:space="preserve"> prices for states in five regions throughout the United States including</w:t>
      </w:r>
      <w:r w:rsidR="005624F3">
        <w:rPr>
          <w:rFonts w:eastAsia="MS Mincho"/>
        </w:rPr>
        <w:t xml:space="preserve"> </w:t>
      </w:r>
      <w:r>
        <w:rPr>
          <w:rFonts w:eastAsia="MS Mincho"/>
        </w:rPr>
        <w:t>East Coast/Northeast</w:t>
      </w:r>
      <w:r w:rsidR="005624F3">
        <w:rPr>
          <w:rFonts w:eastAsia="MS Mincho"/>
        </w:rPr>
        <w:t xml:space="preserve">, </w:t>
      </w:r>
      <w:r>
        <w:rPr>
          <w:rFonts w:eastAsia="MS Mincho"/>
        </w:rPr>
        <w:t>Mid-Continent/Midwest</w:t>
      </w:r>
      <w:r w:rsidR="005624F3">
        <w:rPr>
          <w:rFonts w:eastAsia="MS Mincho"/>
        </w:rPr>
        <w:t xml:space="preserve">, </w:t>
      </w:r>
      <w:r>
        <w:rPr>
          <w:rFonts w:eastAsia="MS Mincho"/>
        </w:rPr>
        <w:t>Gulf Coast/Mid-South</w:t>
      </w:r>
      <w:r w:rsidR="005624F3">
        <w:rPr>
          <w:rFonts w:eastAsia="MS Mincho"/>
        </w:rPr>
        <w:t xml:space="preserve">, </w:t>
      </w:r>
      <w:r>
        <w:rPr>
          <w:rFonts w:eastAsia="MS Mincho"/>
        </w:rPr>
        <w:t>Rocky Mountains</w:t>
      </w:r>
      <w:r w:rsidR="005624F3">
        <w:rPr>
          <w:rFonts w:eastAsia="MS Mincho"/>
        </w:rPr>
        <w:t xml:space="preserve">, and </w:t>
      </w:r>
      <w:r>
        <w:rPr>
          <w:rFonts w:eastAsia="MS Mincho"/>
        </w:rPr>
        <w:t>West Coast/Northwest</w:t>
      </w:r>
      <w:r w:rsidR="005624F3">
        <w:rPr>
          <w:rFonts w:eastAsia="MS Mincho"/>
        </w:rPr>
        <w:t>.</w:t>
      </w:r>
    </w:p>
    <w:p w14:paraId="67751662" w14:textId="4D521CEF" w:rsidR="00D43CEF" w:rsidRDefault="00D43CEF" w:rsidP="00376A2D">
      <w:pPr>
        <w:pStyle w:val="BodyText"/>
        <w:ind w:left="360"/>
      </w:pPr>
      <w:r>
        <w:t xml:space="preserve">Weekly high and low selling price data reported for </w:t>
      </w:r>
      <w:r w:rsidR="000E5208" w:rsidRPr="000E5208">
        <w:rPr>
          <w:highlight w:val="yellow"/>
        </w:rPr>
        <w:t>&lt;&lt;&lt;</w:t>
      </w:r>
      <w:r w:rsidR="00BF2A15">
        <w:rPr>
          <w:highlight w:val="yellow"/>
        </w:rPr>
        <w:t>S</w:t>
      </w:r>
      <w:r w:rsidR="005624F3" w:rsidRPr="00BF2A15">
        <w:rPr>
          <w:highlight w:val="yellow"/>
        </w:rPr>
        <w:t>elect applicable region:</w:t>
      </w:r>
      <w:r w:rsidR="005624F3" w:rsidRPr="007F2CCC">
        <w:rPr>
          <w:highlight w:val="yellow"/>
        </w:rPr>
        <w:t xml:space="preserve"> </w:t>
      </w:r>
      <w:r w:rsidR="005624F3" w:rsidRPr="007F2CCC">
        <w:rPr>
          <w:rFonts w:eastAsia="MS Mincho"/>
          <w:highlight w:val="yellow"/>
        </w:rPr>
        <w:t xml:space="preserve">East Coast/Northeast, Mid-Continent/Midwest, Gulf Coast/Mid-South, Rocky Mountains, </w:t>
      </w:r>
      <w:r w:rsidR="005624F3">
        <w:rPr>
          <w:rFonts w:eastAsia="MS Mincho"/>
          <w:highlight w:val="yellow"/>
        </w:rPr>
        <w:t>or</w:t>
      </w:r>
      <w:r w:rsidR="005624F3" w:rsidRPr="007F2CCC">
        <w:rPr>
          <w:rFonts w:eastAsia="MS Mincho"/>
          <w:highlight w:val="yellow"/>
        </w:rPr>
        <w:t xml:space="preserve"> West Coast/Northwest</w:t>
      </w:r>
      <w:r w:rsidR="000E5208" w:rsidRPr="000E5208">
        <w:rPr>
          <w:rFonts w:eastAsia="MS Mincho"/>
          <w:highlight w:val="yellow"/>
        </w:rPr>
        <w:t>&gt;&gt;&gt;</w:t>
      </w:r>
      <w:r w:rsidRPr="000E5208">
        <w:t xml:space="preserve"> </w:t>
      </w:r>
      <w:r>
        <w:t xml:space="preserve">will be averaged and used to establish a base price index </w:t>
      </w:r>
      <w:r w:rsidR="005624F3">
        <w:t>(</w:t>
      </w:r>
      <w:r>
        <w:t>BPI</w:t>
      </w:r>
      <w:r w:rsidR="005624F3">
        <w:t>)</w:t>
      </w:r>
      <w:r>
        <w:t xml:space="preserve"> for this project and a monthly performance price index</w:t>
      </w:r>
      <w:r w:rsidR="005624F3">
        <w:t xml:space="preserve"> (</w:t>
      </w:r>
      <w:r>
        <w:t>MPPI</w:t>
      </w:r>
      <w:r w:rsidR="005624F3">
        <w:t>)</w:t>
      </w:r>
      <w:r>
        <w:t xml:space="preserve"> for the duration of the contract. These indexes are defined as follows:</w:t>
      </w:r>
    </w:p>
    <w:p w14:paraId="23AEA88C" w14:textId="0535A1D5" w:rsidR="00D43CEF" w:rsidRDefault="005624F3" w:rsidP="007F2CCC">
      <w:pPr>
        <w:pStyle w:val="BodyText"/>
        <w:ind w:left="720"/>
      </w:pPr>
      <w:r w:rsidRPr="007F2CCC">
        <w:rPr>
          <w:b/>
          <w:bCs/>
        </w:rPr>
        <w:t xml:space="preserve">(1) Base </w:t>
      </w:r>
      <w:r w:rsidR="005C1032">
        <w:rPr>
          <w:b/>
          <w:bCs/>
        </w:rPr>
        <w:t>p</w:t>
      </w:r>
      <w:r w:rsidRPr="007F2CCC">
        <w:rPr>
          <w:b/>
          <w:bCs/>
        </w:rPr>
        <w:t xml:space="preserve">rice </w:t>
      </w:r>
      <w:r w:rsidR="005C1032">
        <w:rPr>
          <w:b/>
          <w:bCs/>
        </w:rPr>
        <w:t>i</w:t>
      </w:r>
      <w:r w:rsidRPr="007F2CCC">
        <w:rPr>
          <w:b/>
          <w:bCs/>
        </w:rPr>
        <w:t>ndex.</w:t>
      </w:r>
      <w:r w:rsidR="00D43CEF">
        <w:t xml:space="preserve"> The BPI is the price index posted by the Government as determined by arithmetic average, as specified above, shown in the four </w:t>
      </w:r>
      <w:r w:rsidR="00EF6D02" w:rsidRPr="00551239">
        <w:rPr>
          <w:i/>
        </w:rPr>
        <w:t>Asphalt Weekly Monitor</w:t>
      </w:r>
      <w:r w:rsidR="00EF6D02" w:rsidRPr="00551239">
        <w:rPr>
          <w:vertAlign w:val="superscript"/>
        </w:rPr>
        <w:t>®</w:t>
      </w:r>
      <w:r w:rsidR="00EF6D02">
        <w:rPr>
          <w:vertAlign w:val="superscript"/>
        </w:rPr>
        <w:t xml:space="preserve"> </w:t>
      </w:r>
      <w:r w:rsidR="00D43CEF">
        <w:t xml:space="preserve">publications immediately </w:t>
      </w:r>
      <w:r w:rsidR="00245838">
        <w:t>before</w:t>
      </w:r>
      <w:r w:rsidR="00D43CEF">
        <w:t xml:space="preserve"> </w:t>
      </w:r>
      <w:r w:rsidR="00245838">
        <w:t>contract award</w:t>
      </w:r>
      <w:r w:rsidR="00D43CEF">
        <w:t>. It is as follows:</w:t>
      </w:r>
    </w:p>
    <w:p w14:paraId="172E2D52" w14:textId="614EC8AC" w:rsidR="00D43CEF" w:rsidRDefault="00D43CEF" w:rsidP="007F2CCC">
      <w:pPr>
        <w:pStyle w:val="BodyText"/>
        <w:ind w:left="1080"/>
        <w:rPr>
          <w:u w:val="single"/>
        </w:rPr>
      </w:pPr>
      <w:r>
        <w:t xml:space="preserve">BPI </w:t>
      </w:r>
      <w:r w:rsidR="00EF6D02">
        <w:t xml:space="preserve">for asphalt binder </w:t>
      </w:r>
      <w:r w:rsidRPr="007F2CCC">
        <w:t>= $</w:t>
      </w:r>
      <w:r w:rsidR="006672F9">
        <w:t xml:space="preserve"> </w:t>
      </w:r>
      <w:r w:rsidRPr="00CF1B2A">
        <w:rPr>
          <w:u w:val="single"/>
        </w:rPr>
        <w:t>See</w:t>
      </w:r>
      <w:r w:rsidRPr="00D96805">
        <w:rPr>
          <w:u w:val="single"/>
        </w:rPr>
        <w:t xml:space="preserve"> Note (1) below</w:t>
      </w:r>
      <w:r w:rsidR="00EF6D02" w:rsidRPr="007F2CCC">
        <w:t xml:space="preserve"> per ton</w:t>
      </w:r>
    </w:p>
    <w:p w14:paraId="618D6B2B" w14:textId="7D97F3FA" w:rsidR="00D43CEF" w:rsidRDefault="00D43CEF" w:rsidP="007F2CCC">
      <w:pPr>
        <w:pStyle w:val="BodyText"/>
        <w:ind w:left="1080"/>
      </w:pPr>
      <w:r>
        <w:t xml:space="preserve">Note (1): BPI calculated by the Government and inserted here </w:t>
      </w:r>
      <w:r w:rsidR="00245838">
        <w:t>immediately before co</w:t>
      </w:r>
      <w:r w:rsidR="00007C3A">
        <w:t>ntract award</w:t>
      </w:r>
      <w:r>
        <w:t>.</w:t>
      </w:r>
    </w:p>
    <w:p w14:paraId="25F6E3C3" w14:textId="1C10CCD0" w:rsidR="00D43CEF" w:rsidRDefault="00CF1B2A" w:rsidP="007F2CCC">
      <w:pPr>
        <w:pStyle w:val="BodyText"/>
        <w:ind w:left="720"/>
      </w:pPr>
      <w:r w:rsidRPr="007F2CCC">
        <w:rPr>
          <w:b/>
          <w:bCs/>
        </w:rPr>
        <w:t xml:space="preserve">(2) </w:t>
      </w:r>
      <w:r w:rsidR="00376A2D" w:rsidRPr="007F2CCC">
        <w:rPr>
          <w:b/>
          <w:bCs/>
        </w:rPr>
        <w:t xml:space="preserve">Monthly </w:t>
      </w:r>
      <w:r w:rsidR="005C1032">
        <w:rPr>
          <w:b/>
          <w:bCs/>
        </w:rPr>
        <w:t>p</w:t>
      </w:r>
      <w:r w:rsidR="00376A2D" w:rsidRPr="007F2CCC">
        <w:rPr>
          <w:b/>
          <w:bCs/>
        </w:rPr>
        <w:t xml:space="preserve">erformance </w:t>
      </w:r>
      <w:r w:rsidR="005C1032">
        <w:rPr>
          <w:b/>
          <w:bCs/>
        </w:rPr>
        <w:t>p</w:t>
      </w:r>
      <w:r w:rsidR="00376A2D" w:rsidRPr="007F2CCC">
        <w:rPr>
          <w:b/>
          <w:bCs/>
        </w:rPr>
        <w:t xml:space="preserve">rice </w:t>
      </w:r>
      <w:r w:rsidR="005C1032">
        <w:rPr>
          <w:b/>
          <w:bCs/>
        </w:rPr>
        <w:t>i</w:t>
      </w:r>
      <w:r w:rsidR="00376A2D" w:rsidRPr="007F2CCC">
        <w:rPr>
          <w:b/>
          <w:bCs/>
        </w:rPr>
        <w:t xml:space="preserve">ndex. </w:t>
      </w:r>
      <w:r w:rsidR="00D43CEF">
        <w:t xml:space="preserve">The MPPI is the monthly price index at the time of performance of applicable work as determined by arithmetic average, as specified above, shown in the four </w:t>
      </w:r>
      <w:r w:rsidR="00EF6D02" w:rsidRPr="00551239">
        <w:rPr>
          <w:i/>
        </w:rPr>
        <w:t>Asphalt Weekly Monitor</w:t>
      </w:r>
      <w:r w:rsidR="00EF6D02" w:rsidRPr="00551239">
        <w:rPr>
          <w:vertAlign w:val="superscript"/>
        </w:rPr>
        <w:t>®</w:t>
      </w:r>
      <w:r w:rsidR="00D43CEF">
        <w:t xml:space="preserve"> publications issued </w:t>
      </w:r>
      <w:r w:rsidR="006672F9">
        <w:t>before</w:t>
      </w:r>
      <w:r w:rsidR="00D43CEF">
        <w:t xml:space="preserve"> the last Wednesday of the month</w:t>
      </w:r>
      <w:r w:rsidR="00376A2D">
        <w:t xml:space="preserve"> (the MPPI</w:t>
      </w:r>
      <w:r w:rsidR="00D43CEF">
        <w:t xml:space="preserve"> during which asphalt binder is used in the performance of applicable construction work).</w:t>
      </w:r>
    </w:p>
    <w:p w14:paraId="2637D02A" w14:textId="4B8DFE7C" w:rsidR="00D43CEF" w:rsidRDefault="00376A2D" w:rsidP="007F2CCC">
      <w:pPr>
        <w:pStyle w:val="BodyText"/>
        <w:ind w:left="360"/>
      </w:pPr>
      <w:r w:rsidRPr="007F2CCC">
        <w:rPr>
          <w:b/>
          <w:bCs/>
        </w:rPr>
        <w:lastRenderedPageBreak/>
        <w:t xml:space="preserve">(c) Price </w:t>
      </w:r>
      <w:r w:rsidR="005C1032">
        <w:rPr>
          <w:b/>
          <w:bCs/>
        </w:rPr>
        <w:t>a</w:t>
      </w:r>
      <w:r w:rsidRPr="007F2CCC">
        <w:rPr>
          <w:b/>
          <w:bCs/>
        </w:rPr>
        <w:t>djustments.</w:t>
      </w:r>
      <w:r w:rsidR="00D43CEF">
        <w:t xml:space="preserve"> Price adjustments calculated by the Government are not intended to reflect the Contractor’s actual purchase price. The ratio of the monthly performance price index and the base price index (MPPI/BPI) is calculated and used to determine price adjustments as follows:</w:t>
      </w:r>
    </w:p>
    <w:p w14:paraId="2DA91FFB" w14:textId="35075C20" w:rsidR="00D43CEF" w:rsidRDefault="00376A2D" w:rsidP="007F2CCC">
      <w:pPr>
        <w:pStyle w:val="BodyText"/>
        <w:ind w:left="720"/>
        <w:rPr>
          <w:caps/>
        </w:rPr>
      </w:pPr>
      <w:r>
        <w:rPr>
          <w:b/>
          <w:bCs/>
        </w:rPr>
        <w:t xml:space="preserve">(1) </w:t>
      </w:r>
      <w:r w:rsidR="00D43CEF">
        <w:rPr>
          <w:b/>
          <w:bCs/>
        </w:rPr>
        <w:t xml:space="preserve">No </w:t>
      </w:r>
      <w:r w:rsidR="005C1032">
        <w:rPr>
          <w:b/>
          <w:bCs/>
        </w:rPr>
        <w:t>p</w:t>
      </w:r>
      <w:r w:rsidR="00D43CEF">
        <w:rPr>
          <w:b/>
          <w:bCs/>
        </w:rPr>
        <w:t xml:space="preserve">rice </w:t>
      </w:r>
      <w:r w:rsidR="005C1032">
        <w:rPr>
          <w:b/>
          <w:bCs/>
        </w:rPr>
        <w:t>a</w:t>
      </w:r>
      <w:r w:rsidR="00D43CEF">
        <w:rPr>
          <w:b/>
          <w:bCs/>
        </w:rPr>
        <w:t>djustment</w:t>
      </w:r>
      <w:r>
        <w:rPr>
          <w:b/>
          <w:bCs/>
        </w:rPr>
        <w:t>.</w:t>
      </w:r>
      <w:r>
        <w:rPr>
          <w:b/>
          <w:bCs/>
          <w:caps/>
        </w:rPr>
        <w:t xml:space="preserve"> </w:t>
      </w:r>
      <w:r w:rsidR="00D43CEF">
        <w:rPr>
          <w:caps/>
        </w:rPr>
        <w:t>w</w:t>
      </w:r>
      <w:r w:rsidR="00D43CEF">
        <w:t>hen the ratio MPPI/BPI falls within the range of 0.90 to 1.10, no price adjustment will be made for any asphalt binder used in construction work performed during the relevant month.</w:t>
      </w:r>
    </w:p>
    <w:p w14:paraId="4F99D6C9" w14:textId="6A953353" w:rsidR="00D43CEF" w:rsidRDefault="00376A2D" w:rsidP="007F2CCC">
      <w:pPr>
        <w:pStyle w:val="BodyText"/>
        <w:ind w:left="720"/>
        <w:rPr>
          <w:caps/>
        </w:rPr>
      </w:pPr>
      <w:r>
        <w:rPr>
          <w:b/>
          <w:bCs/>
        </w:rPr>
        <w:t xml:space="preserve">(2) </w:t>
      </w:r>
      <w:r w:rsidR="00D43CEF">
        <w:rPr>
          <w:b/>
          <w:bCs/>
        </w:rPr>
        <w:t xml:space="preserve">Government </w:t>
      </w:r>
      <w:r w:rsidR="005C1032">
        <w:rPr>
          <w:b/>
          <w:bCs/>
        </w:rPr>
        <w:t>r</w:t>
      </w:r>
      <w:r w:rsidR="00D43CEF">
        <w:rPr>
          <w:b/>
          <w:bCs/>
        </w:rPr>
        <w:t>ebate</w:t>
      </w:r>
      <w:r>
        <w:rPr>
          <w:b/>
          <w:bCs/>
        </w:rPr>
        <w:t>.</w:t>
      </w:r>
      <w:r>
        <w:rPr>
          <w:caps/>
        </w:rPr>
        <w:t xml:space="preserve"> </w:t>
      </w:r>
      <w:r w:rsidR="00D43CEF">
        <w:rPr>
          <w:caps/>
        </w:rPr>
        <w:t>W</w:t>
      </w:r>
      <w:r w:rsidR="00D43CEF">
        <w:t xml:space="preserve">hen the ratio MPPI/BPI is calculated to be less than 0.90, the Government is due a rebate determined </w:t>
      </w:r>
      <w:r w:rsidR="00F71581">
        <w:t>according to</w:t>
      </w:r>
      <w:r w:rsidR="00D43CEF">
        <w:t xml:space="preserve"> the following formula:</w:t>
      </w:r>
    </w:p>
    <w:p w14:paraId="15D43972" w14:textId="77777777" w:rsidR="00D43CEF" w:rsidRDefault="00D43CEF" w:rsidP="0015658B">
      <w:pPr>
        <w:pStyle w:val="BodyText"/>
        <w:ind w:left="720"/>
        <w:rPr>
          <w:caps/>
        </w:rPr>
      </w:pPr>
      <w:r>
        <w:rPr>
          <w:caps/>
        </w:rPr>
        <w:t>G</w:t>
      </w:r>
      <w:r>
        <w:t>overnment Rebate = [0.90 – (MPPI/BPI)] (BPI) (Q)</w:t>
      </w:r>
    </w:p>
    <w:p w14:paraId="385271EB" w14:textId="1BEC9681" w:rsidR="00D43CEF" w:rsidRDefault="00376A2D" w:rsidP="007F2CCC">
      <w:pPr>
        <w:pStyle w:val="BodyText"/>
        <w:ind w:left="720"/>
        <w:rPr>
          <w:caps/>
        </w:rPr>
      </w:pPr>
      <w:r>
        <w:rPr>
          <w:b/>
          <w:bCs/>
        </w:rPr>
        <w:t xml:space="preserve">(3) </w:t>
      </w:r>
      <w:r w:rsidR="00D43CEF">
        <w:rPr>
          <w:b/>
          <w:bCs/>
        </w:rPr>
        <w:t xml:space="preserve">Contractor </w:t>
      </w:r>
      <w:r w:rsidR="005C1032">
        <w:rPr>
          <w:b/>
          <w:bCs/>
        </w:rPr>
        <w:t>p</w:t>
      </w:r>
      <w:r w:rsidR="00D43CEF">
        <w:rPr>
          <w:b/>
          <w:bCs/>
        </w:rPr>
        <w:t>ayment</w:t>
      </w:r>
      <w:r>
        <w:rPr>
          <w:b/>
          <w:bCs/>
        </w:rPr>
        <w:t>.</w:t>
      </w:r>
      <w:r w:rsidR="00D43CEF">
        <w:t xml:space="preserve"> </w:t>
      </w:r>
      <w:r w:rsidR="00D43CEF">
        <w:rPr>
          <w:caps/>
        </w:rPr>
        <w:t>W</w:t>
      </w:r>
      <w:r w:rsidR="00D43CEF">
        <w:t xml:space="preserve">hen the ratio MPPI/BPI is calculated to be greater than 1.10, the Contractor is due additional payment determined </w:t>
      </w:r>
      <w:r w:rsidR="00F71581">
        <w:t xml:space="preserve">according to </w:t>
      </w:r>
      <w:r w:rsidR="00D43CEF">
        <w:t>the following formula:</w:t>
      </w:r>
    </w:p>
    <w:p w14:paraId="7F33BD96" w14:textId="77777777" w:rsidR="00D43CEF" w:rsidRDefault="00D43CEF" w:rsidP="0015658B">
      <w:pPr>
        <w:pStyle w:val="BodyText"/>
        <w:ind w:left="720"/>
      </w:pPr>
      <w:r>
        <w:t>Contractor Payment = [(MPPI/BPI) – 1.10] (BPI) (Q)</w:t>
      </w:r>
    </w:p>
    <w:p w14:paraId="4D1EDA24" w14:textId="3BFBC048" w:rsidR="00D43CEF" w:rsidRDefault="00D43CEF" w:rsidP="007F2CCC">
      <w:pPr>
        <w:pStyle w:val="BodyText"/>
        <w:ind w:left="360"/>
      </w:pPr>
      <w:r>
        <w:t xml:space="preserve">The following definitions are applicable to both the Government </w:t>
      </w:r>
      <w:r w:rsidR="00F11611">
        <w:t xml:space="preserve">rebate </w:t>
      </w:r>
      <w:r>
        <w:t xml:space="preserve">and the Contractor </w:t>
      </w:r>
      <w:r w:rsidR="00F11611">
        <w:t xml:space="preserve">payment </w:t>
      </w:r>
      <w:r>
        <w:t>formulas:</w:t>
      </w:r>
    </w:p>
    <w:p w14:paraId="1E584E41" w14:textId="427DB8C0" w:rsidR="00D43CEF" w:rsidRDefault="00D43CEF" w:rsidP="007F2CCC">
      <w:pPr>
        <w:pStyle w:val="BodyText"/>
        <w:tabs>
          <w:tab w:val="left" w:pos="1440"/>
        </w:tabs>
        <w:ind w:left="720"/>
      </w:pPr>
      <w:r>
        <w:t>MPPI =</w:t>
      </w:r>
      <w:r w:rsidR="0015658B">
        <w:tab/>
      </w:r>
      <w:r>
        <w:t>Monthly Performance Price Index for the month during which asphalt binder is used in the performance of applicable construction work.</w:t>
      </w:r>
    </w:p>
    <w:p w14:paraId="0163A6F1" w14:textId="611BB3F3" w:rsidR="00D43CEF" w:rsidRDefault="00D43CEF" w:rsidP="007F2CCC">
      <w:pPr>
        <w:pStyle w:val="BodyText"/>
        <w:tabs>
          <w:tab w:val="left" w:pos="1440"/>
        </w:tabs>
        <w:ind w:left="720"/>
      </w:pPr>
      <w:r>
        <w:t>BPI</w:t>
      </w:r>
      <w:r w:rsidR="0015658B">
        <w:t xml:space="preserve"> </w:t>
      </w:r>
      <w:r>
        <w:t>=</w:t>
      </w:r>
      <w:r w:rsidR="0015658B">
        <w:tab/>
      </w:r>
      <w:r>
        <w:t xml:space="preserve">Base Price Index that is established immediately </w:t>
      </w:r>
      <w:r w:rsidR="00F0041E">
        <w:t xml:space="preserve">before </w:t>
      </w:r>
      <w:r w:rsidR="00245838">
        <w:t xml:space="preserve">contract </w:t>
      </w:r>
      <w:r w:rsidR="00F0041E">
        <w:t>award</w:t>
      </w:r>
      <w:r>
        <w:t>.</w:t>
      </w:r>
    </w:p>
    <w:p w14:paraId="3BCF35E9" w14:textId="734D275D" w:rsidR="00D43CEF" w:rsidRDefault="00D43CEF" w:rsidP="007F2CCC">
      <w:pPr>
        <w:pStyle w:val="BodyText"/>
        <w:tabs>
          <w:tab w:val="left" w:pos="1440"/>
        </w:tabs>
        <w:ind w:left="720"/>
      </w:pPr>
      <w:r>
        <w:t>Q</w:t>
      </w:r>
      <w:r w:rsidR="0015658B">
        <w:t xml:space="preserve"> </w:t>
      </w:r>
      <w:r>
        <w:t xml:space="preserve">= </w:t>
      </w:r>
      <w:r w:rsidR="0015658B">
        <w:tab/>
      </w:r>
      <w:r>
        <w:t>Quantity in tons of asphalt binder for each pay item that was used on the project during the progress payment period. The quantity will be calculated using the asphalt content of the approved mix design and the following formula:</w:t>
      </w:r>
    </w:p>
    <w:p w14:paraId="0A5DFA83" w14:textId="091C35F0" w:rsidR="00D43CEF" w:rsidRDefault="00D43CEF" w:rsidP="007F2CCC">
      <w:pPr>
        <w:pStyle w:val="BodyText"/>
        <w:tabs>
          <w:tab w:val="left" w:pos="1440"/>
        </w:tabs>
        <w:ind w:left="720"/>
      </w:pPr>
      <w:r>
        <w:t xml:space="preserve">Q = </w:t>
      </w:r>
      <w:r w:rsidR="0015658B">
        <w:tab/>
      </w:r>
      <w:r>
        <w:t>Asphalt Concrete Pavement tons placed x (% Asphalt/100)</w:t>
      </w:r>
    </w:p>
    <w:p w14:paraId="4D1DF07A" w14:textId="440C6186" w:rsidR="00D43CEF" w:rsidRDefault="00376A2D" w:rsidP="007F2CCC">
      <w:pPr>
        <w:pStyle w:val="BodyText"/>
        <w:ind w:left="360"/>
      </w:pPr>
      <w:r w:rsidRPr="007F2CCC">
        <w:rPr>
          <w:b/>
          <w:bCs/>
        </w:rPr>
        <w:t xml:space="preserve">(d) Price </w:t>
      </w:r>
      <w:r w:rsidR="005C1032">
        <w:rPr>
          <w:b/>
          <w:bCs/>
        </w:rPr>
        <w:t>a</w:t>
      </w:r>
      <w:r w:rsidRPr="007F2CCC">
        <w:rPr>
          <w:b/>
          <w:bCs/>
        </w:rPr>
        <w:t xml:space="preserve">djustment </w:t>
      </w:r>
      <w:r w:rsidR="005C1032">
        <w:rPr>
          <w:b/>
          <w:bCs/>
        </w:rPr>
        <w:t>c</w:t>
      </w:r>
      <w:r w:rsidRPr="007F2CCC">
        <w:rPr>
          <w:b/>
          <w:bCs/>
        </w:rPr>
        <w:t>ompensation.</w:t>
      </w:r>
      <w:r w:rsidR="00D43CEF" w:rsidRPr="00376A2D">
        <w:t xml:space="preserve"> </w:t>
      </w:r>
      <w:r w:rsidR="00D43CEF">
        <w:t>Monthly adjustments will be accrued. The final price adjustment will be paid, or rebated, after completion of all work for each eligible pay item. The Contractor may request in writing a partial price adjustment payment once every 12 months, or when the unpaid accrued increase exceeds $10,000. The Government will take a rebate when the deductive accrual exceeds $10,000.</w:t>
      </w:r>
    </w:p>
    <w:p w14:paraId="4CFFCAF8" w14:textId="2A062394" w:rsidR="00D43CEF" w:rsidRDefault="00D43CEF" w:rsidP="007F2CCC">
      <w:pPr>
        <w:pStyle w:val="BodyText"/>
        <w:ind w:left="360"/>
      </w:pPr>
      <w:r>
        <w:t xml:space="preserve">No price adjustments will be made for work performed beyond the Government-approved </w:t>
      </w:r>
      <w:r w:rsidR="00F11611">
        <w:t xml:space="preserve">contract </w:t>
      </w:r>
      <w:r>
        <w:t>completion date.</w:t>
      </w:r>
    </w:p>
    <w:p w14:paraId="6C0D3043" w14:textId="77777777" w:rsidR="00D43CEF" w:rsidRDefault="00D43CEF" w:rsidP="007F2CCC">
      <w:pPr>
        <w:pStyle w:val="BodyText"/>
        <w:ind w:left="360"/>
      </w:pPr>
      <w:r>
        <w:t>The maximum allowable monthly and final price adjustment to the Contractor or rebate to the Government is limited to a (MPPI/BPI) ratio of 1.6 and 0.4, respectively.</w:t>
      </w:r>
    </w:p>
    <w:p w14:paraId="7678B2C7" w14:textId="07D0F8CC" w:rsidR="00890739" w:rsidRPr="007F2CCC" w:rsidRDefault="00890739" w:rsidP="007F2CCC">
      <w:pPr>
        <w:pStyle w:val="BodyText"/>
        <w:pBdr>
          <w:top w:val="thinThickSmallGap" w:sz="12" w:space="1" w:color="FF0000"/>
          <w:left w:val="thinThickSmallGap" w:sz="12" w:space="4" w:color="FF0000"/>
          <w:bottom w:val="thickThinSmallGap" w:sz="12" w:space="1" w:color="FF0000"/>
          <w:right w:val="thickThinSmallGap" w:sz="12" w:space="4" w:color="FF0000"/>
        </w:pBdr>
        <w:rPr>
          <w:i/>
          <w:iCs/>
          <w:vanish/>
        </w:rPr>
      </w:pPr>
      <w:r w:rsidRPr="007F2CCC">
        <w:rPr>
          <w:i/>
          <w:iCs/>
          <w:vanish/>
        </w:rPr>
        <w:t>Fuel Price Adjustment Provision</w:t>
      </w:r>
    </w:p>
    <w:p w14:paraId="348A4C65" w14:textId="77777777" w:rsidR="009E27E8" w:rsidRPr="00322951" w:rsidRDefault="009E27E8" w:rsidP="009E27E8">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322951">
        <w:rPr>
          <w:rFonts w:ascii="Times New Roman" w:eastAsia="MS Mincho" w:hAnsi="Times New Roman"/>
          <w:bCs/>
          <w:vanish/>
          <w:sz w:val="24"/>
          <w:szCs w:val="24"/>
        </w:rPr>
        <w:t xml:space="preserve">Include if </w:t>
      </w:r>
      <w:proofErr w:type="gramStart"/>
      <w:r w:rsidRPr="00322951">
        <w:rPr>
          <w:rFonts w:ascii="Times New Roman" w:eastAsia="MS Mincho" w:hAnsi="Times New Roman"/>
          <w:bCs/>
          <w:vanish/>
          <w:sz w:val="24"/>
          <w:szCs w:val="24"/>
        </w:rPr>
        <w:t>all of</w:t>
      </w:r>
      <w:proofErr w:type="gramEnd"/>
      <w:r w:rsidRPr="00322951">
        <w:rPr>
          <w:rFonts w:ascii="Times New Roman" w:eastAsia="MS Mincho" w:hAnsi="Times New Roman"/>
          <w:bCs/>
          <w:vanish/>
          <w:sz w:val="24"/>
          <w:szCs w:val="24"/>
        </w:rPr>
        <w:t xml:space="preserve"> the following apply:</w:t>
      </w:r>
    </w:p>
    <w:p w14:paraId="0A841B43" w14:textId="77777777" w:rsidR="00007C3A" w:rsidRPr="00C06441" w:rsidRDefault="00007C3A" w:rsidP="00007C3A">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lastRenderedPageBreak/>
        <w:t xml:space="preserve">(a) </w:t>
      </w:r>
      <w:r>
        <w:rPr>
          <w:rFonts w:ascii="Times New Roman" w:eastAsia="MS Mincho" w:hAnsi="Times New Roman"/>
          <w:bCs/>
          <w:vanish/>
          <w:sz w:val="24"/>
          <w:szCs w:val="24"/>
        </w:rPr>
        <w:t>Duration longer than 1 year</w:t>
      </w:r>
    </w:p>
    <w:p w14:paraId="09169CA1" w14:textId="7BAF4638" w:rsidR="00007C3A" w:rsidRPr="00C06441" w:rsidRDefault="00007C3A" w:rsidP="00007C3A">
      <w:pPr>
        <w:pStyle w:val="PlainText"/>
        <w:pBdr>
          <w:top w:val="thinThickSmallGap" w:sz="12" w:space="1" w:color="FF0000"/>
          <w:left w:val="thinThickSmallGap" w:sz="12" w:space="4" w:color="FF0000"/>
          <w:bottom w:val="thickThinSmallGap" w:sz="12" w:space="1" w:color="FF0000"/>
          <w:right w:val="thickThinSmallGap" w:sz="12" w:space="4" w:color="FF0000"/>
        </w:pBdr>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(b) </w:t>
      </w:r>
      <w:r w:rsidR="00B076CE">
        <w:rPr>
          <w:rFonts w:ascii="Times New Roman" w:eastAsia="MS Mincho" w:hAnsi="Times New Roman"/>
          <w:bCs/>
          <w:vanish/>
          <w:sz w:val="24"/>
          <w:szCs w:val="24"/>
        </w:rPr>
        <w:t xml:space="preserve">Construction Cost Estimate </w:t>
      </w:r>
      <w:r>
        <w:rPr>
          <w:rFonts w:ascii="Times New Roman" w:eastAsia="MS Mincho" w:hAnsi="Times New Roman"/>
          <w:bCs/>
          <w:vanish/>
          <w:sz w:val="24"/>
          <w:szCs w:val="24"/>
        </w:rPr>
        <w:t>more than $5 million</w:t>
      </w:r>
    </w:p>
    <w:p w14:paraId="4383844F" w14:textId="77777777" w:rsidR="00007C3A" w:rsidRPr="00C06441" w:rsidRDefault="00007C3A" w:rsidP="00007C3A">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 xml:space="preserve">(c) </w:t>
      </w:r>
      <w:r>
        <w:rPr>
          <w:rFonts w:ascii="Times New Roman" w:eastAsia="MS Mincho" w:hAnsi="Times New Roman"/>
          <w:bCs/>
          <w:vanish/>
          <w:sz w:val="24"/>
          <w:szCs w:val="24"/>
        </w:rPr>
        <w:t>Approved by the COE and PM</w:t>
      </w:r>
    </w:p>
    <w:p w14:paraId="109385D8" w14:textId="3B2CC348" w:rsidR="00D43CEF" w:rsidRDefault="00D43CEF" w:rsidP="0015658B">
      <w:pPr>
        <w:pStyle w:val="BodyText"/>
        <w:rPr>
          <w:b/>
          <w:bCs/>
        </w:rPr>
      </w:pPr>
      <w:r w:rsidRPr="0015658B">
        <w:rPr>
          <w:b/>
          <w:bCs/>
        </w:rPr>
        <w:t>109.06</w:t>
      </w:r>
      <w:r w:rsidR="008A20CE">
        <w:rPr>
          <w:b/>
          <w:bCs/>
        </w:rPr>
        <w:t xml:space="preserve">B Fuel </w:t>
      </w:r>
      <w:r w:rsidRPr="0015658B">
        <w:rPr>
          <w:b/>
          <w:bCs/>
        </w:rPr>
        <w:t>Pric</w:t>
      </w:r>
      <w:r w:rsidR="008A20CE">
        <w:rPr>
          <w:b/>
          <w:bCs/>
        </w:rPr>
        <w:t>e Adjustment Provision</w:t>
      </w:r>
      <w:r w:rsidR="005460F3" w:rsidRPr="0015658B">
        <w:rPr>
          <w:b/>
          <w:bCs/>
        </w:rPr>
        <w:t>.</w:t>
      </w:r>
      <w:r w:rsidR="00E03BAC" w:rsidRPr="00683984">
        <w:t xml:space="preserve"> </w:t>
      </w:r>
      <w:r w:rsidR="00E03BAC" w:rsidRPr="00E03BAC">
        <w:t>(</w:t>
      </w:r>
      <w:r w:rsidR="00E03BAC" w:rsidRPr="00E03BAC">
        <w:rPr>
          <w:u w:val="single"/>
        </w:rPr>
        <w:t>Added Subsection</w:t>
      </w:r>
      <w:r w:rsidR="00E03BAC" w:rsidRPr="00E03BAC">
        <w:t>).</w:t>
      </w:r>
    </w:p>
    <w:p w14:paraId="645C4CF6" w14:textId="16CB5207" w:rsidR="00D43CEF" w:rsidRDefault="008A20CE" w:rsidP="007F2CCC">
      <w:pPr>
        <w:pStyle w:val="BodyText"/>
        <w:tabs>
          <w:tab w:val="clear" w:pos="9900"/>
        </w:tabs>
        <w:ind w:left="360"/>
        <w:jc w:val="left"/>
      </w:pPr>
      <w:r>
        <w:rPr>
          <w:b/>
          <w:bCs/>
        </w:rPr>
        <w:t xml:space="preserve">(a) General. </w:t>
      </w:r>
      <w:r w:rsidR="00D43CEF">
        <w:t>The Fuel Price Adjustment Provision contained herein provides for a price adjustment in the form of payment to the Contractor or a rebate to the Government for fluctuations in the cost of diesel fuel consumed in the performance of applicable construction work</w:t>
      </w:r>
      <w:r>
        <w:t>.</w:t>
      </w:r>
      <w:r w:rsidR="00D43CEF">
        <w:t xml:space="preserve"> The price adjustment provisions are applicable only to contract items listed as eligible pay items in Table </w:t>
      </w:r>
      <w:r w:rsidR="00A5259E">
        <w:t>109-</w:t>
      </w:r>
      <w:r w:rsidR="00D43CEF">
        <w:t xml:space="preserve">1 below. The price adjustment provisions are also applicable to these eligible pay items when the Government adds work to the </w:t>
      </w:r>
      <w:r w:rsidR="00F11611">
        <w:t>contract</w:t>
      </w:r>
      <w:r w:rsidR="00D43CEF">
        <w:t>.</w:t>
      </w:r>
    </w:p>
    <w:p w14:paraId="0468ACD5" w14:textId="2F85B7B7" w:rsidR="00D43CEF" w:rsidRDefault="00D43CEF" w:rsidP="007F2CCC">
      <w:pPr>
        <w:pStyle w:val="BodyText"/>
        <w:ind w:left="360"/>
      </w:pPr>
      <w:r>
        <w:t xml:space="preserve">The provision will remain in effect throughout the duration of the contract. Enactment of the Fuel Price Adjustment Provision will only be considered when the </w:t>
      </w:r>
      <w:r w:rsidRPr="007F2CCC">
        <w:t>increase or decrease</w:t>
      </w:r>
      <w:r>
        <w:t xml:space="preserve"> in the price of diesel fuel as defined herein exceeds 10 percent.</w:t>
      </w:r>
    </w:p>
    <w:p w14:paraId="29F6C142" w14:textId="32FE7B88" w:rsidR="00D43CEF" w:rsidRDefault="00D43CEF" w:rsidP="007F2CCC">
      <w:pPr>
        <w:pStyle w:val="BodyText"/>
        <w:ind w:left="360"/>
      </w:pPr>
      <w:r>
        <w:t>The Fuel Price Adjustment Provision is intended to reduce but not eliminate the cost effects of price uncertainty to the Contractor and the Government for diesel fuel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diesel fuel price fluctuations.</w:t>
      </w:r>
    </w:p>
    <w:p w14:paraId="3E435723" w14:textId="2AE47A88" w:rsidR="00D43CEF" w:rsidRPr="00C47F49" w:rsidRDefault="008A20CE" w:rsidP="007F2CCC">
      <w:pPr>
        <w:pStyle w:val="BodyText"/>
        <w:ind w:left="360"/>
      </w:pPr>
      <w:r w:rsidRPr="007F2CCC">
        <w:rPr>
          <w:rFonts w:eastAsia="MS Mincho"/>
          <w:b/>
          <w:bCs/>
        </w:rPr>
        <w:t xml:space="preserve">(b) Price </w:t>
      </w:r>
      <w:r w:rsidR="005C1032">
        <w:rPr>
          <w:rFonts w:eastAsia="MS Mincho"/>
          <w:b/>
          <w:bCs/>
        </w:rPr>
        <w:t>i</w:t>
      </w:r>
      <w:r w:rsidRPr="007F2CCC">
        <w:rPr>
          <w:rFonts w:eastAsia="MS Mincho"/>
          <w:b/>
          <w:bCs/>
        </w:rPr>
        <w:t>ndexes.</w:t>
      </w:r>
      <w:r>
        <w:rPr>
          <w:rFonts w:eastAsia="MS Mincho"/>
          <w:b/>
          <w:bCs/>
        </w:rPr>
        <w:t xml:space="preserve"> </w:t>
      </w:r>
      <w:r w:rsidR="00D43CEF">
        <w:rPr>
          <w:rFonts w:eastAsia="MS Mincho"/>
        </w:rPr>
        <w:t xml:space="preserve">The Government will post a monthly performance price index at: </w:t>
      </w:r>
      <w:hyperlink r:id="rId6" w:history="1">
        <w:r w:rsidR="005460F3" w:rsidRPr="00D43CEF">
          <w:rPr>
            <w:rStyle w:val="Hyperlink"/>
            <w:szCs w:val="24"/>
          </w:rPr>
          <w:t>https://highways.dot.gov/federal-lands/business/escalation-factors-cfl</w:t>
        </w:r>
      </w:hyperlink>
      <w:r w:rsidR="005460F3">
        <w:t>.</w:t>
      </w:r>
    </w:p>
    <w:p w14:paraId="6E47AB66" w14:textId="42194CD5" w:rsidR="00890739" w:rsidRDefault="00890739" w:rsidP="00D672F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7F2CCC">
        <w:rPr>
          <w:rFonts w:ascii="Times New Roman" w:eastAsia="MS Mincho" w:hAnsi="Times New Roman"/>
          <w:bCs/>
          <w:vanish/>
          <w:sz w:val="24"/>
          <w:szCs w:val="24"/>
        </w:rPr>
        <w:t xml:space="preserve">If the project is in California replace </w:t>
      </w:r>
      <w:r w:rsidRPr="007F2CCC">
        <w:rPr>
          <w:rFonts w:ascii="Times New Roman" w:eastAsia="MS Mincho" w:hAnsi="Times New Roman"/>
          <w:bCs/>
          <w:vanish/>
          <w:sz w:val="24"/>
          <w:szCs w:val="24"/>
          <w:highlight w:val="yellow"/>
        </w:rPr>
        <w:t>Gross Ultra Low Sulfur, No. 2 Diesel Fuel</w:t>
      </w:r>
      <w:r w:rsidRPr="007F2CCC">
        <w:rPr>
          <w:rFonts w:ascii="Times New Roman" w:eastAsia="MS Mincho" w:hAnsi="Times New Roman"/>
          <w:bCs/>
          <w:vanish/>
          <w:sz w:val="24"/>
          <w:szCs w:val="24"/>
        </w:rPr>
        <w:t xml:space="preserve"> below with “Gross CARB Ultra Low Sulfur, No. 2 Diesel Fuel”.</w:t>
      </w:r>
    </w:p>
    <w:p w14:paraId="332AB68D" w14:textId="77777777" w:rsidR="00FF2035" w:rsidRDefault="00E96359" w:rsidP="00FF2035">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Pr>
          <w:rFonts w:ascii="Times New Roman" w:eastAsia="MS Mincho" w:hAnsi="Times New Roman"/>
          <w:bCs/>
          <w:vanish/>
          <w:sz w:val="24"/>
          <w:szCs w:val="24"/>
        </w:rPr>
        <w:t>Contact the C</w:t>
      </w:r>
      <w:r w:rsidR="007B6E60">
        <w:rPr>
          <w:rFonts w:ascii="Times New Roman" w:eastAsia="MS Mincho" w:hAnsi="Times New Roman"/>
          <w:bCs/>
          <w:vanish/>
          <w:sz w:val="24"/>
          <w:szCs w:val="24"/>
        </w:rPr>
        <w:t xml:space="preserve">onstruction </w:t>
      </w:r>
      <w:r>
        <w:rPr>
          <w:rFonts w:ascii="Times New Roman" w:eastAsia="MS Mincho" w:hAnsi="Times New Roman"/>
          <w:bCs/>
          <w:vanish/>
          <w:sz w:val="24"/>
          <w:szCs w:val="24"/>
        </w:rPr>
        <w:t>S</w:t>
      </w:r>
      <w:r w:rsidR="007B6E60">
        <w:rPr>
          <w:rFonts w:ascii="Times New Roman" w:eastAsia="MS Mincho" w:hAnsi="Times New Roman"/>
          <w:bCs/>
          <w:vanish/>
          <w:sz w:val="24"/>
          <w:szCs w:val="24"/>
        </w:rPr>
        <w:t xml:space="preserve">upport </w:t>
      </w:r>
      <w:r>
        <w:rPr>
          <w:rFonts w:ascii="Times New Roman" w:eastAsia="MS Mincho" w:hAnsi="Times New Roman"/>
          <w:bCs/>
          <w:vanish/>
          <w:sz w:val="24"/>
          <w:szCs w:val="24"/>
        </w:rPr>
        <w:t>T</w:t>
      </w:r>
      <w:r w:rsidR="007B6E60">
        <w:rPr>
          <w:rFonts w:ascii="Times New Roman" w:eastAsia="MS Mincho" w:hAnsi="Times New Roman"/>
          <w:bCs/>
          <w:vanish/>
          <w:sz w:val="24"/>
          <w:szCs w:val="24"/>
        </w:rPr>
        <w:t>eam</w:t>
      </w:r>
      <w:r>
        <w:rPr>
          <w:rFonts w:ascii="Times New Roman" w:eastAsia="MS Mincho" w:hAnsi="Times New Roman"/>
          <w:bCs/>
          <w:vanish/>
          <w:sz w:val="24"/>
          <w:szCs w:val="24"/>
        </w:rPr>
        <w:t xml:space="preserve"> for the </w:t>
      </w:r>
      <w:r w:rsidR="007B6E60" w:rsidRPr="007F2CCC">
        <w:rPr>
          <w:rFonts w:ascii="Times New Roman" w:eastAsia="MS Mincho" w:hAnsi="Times New Roman"/>
          <w:bCs/>
          <w:vanish/>
          <w:sz w:val="24"/>
          <w:szCs w:val="24"/>
          <w:highlight w:val="yellow"/>
        </w:rPr>
        <w:t xml:space="preserve">applicable </w:t>
      </w:r>
      <w:r w:rsidRPr="007F2CCC">
        <w:rPr>
          <w:rFonts w:ascii="Times New Roman" w:eastAsia="MS Mincho" w:hAnsi="Times New Roman"/>
          <w:bCs/>
          <w:vanish/>
          <w:sz w:val="24"/>
          <w:szCs w:val="24"/>
          <w:highlight w:val="yellow"/>
        </w:rPr>
        <w:t>rack city</w:t>
      </w:r>
      <w:r>
        <w:rPr>
          <w:rFonts w:ascii="Times New Roman" w:eastAsia="MS Mincho" w:hAnsi="Times New Roman"/>
          <w:bCs/>
          <w:vanish/>
          <w:sz w:val="24"/>
          <w:szCs w:val="24"/>
        </w:rPr>
        <w:t>.</w:t>
      </w:r>
    </w:p>
    <w:p w14:paraId="723111CB" w14:textId="7BC3FE3C" w:rsidR="00D43CEF" w:rsidRDefault="000E5208" w:rsidP="003C67D9">
      <w:pPr>
        <w:pStyle w:val="BodyText"/>
      </w:pPr>
      <w:r>
        <w:rPr>
          <w:highlight w:val="yellow"/>
        </w:rPr>
        <w:t>&lt;&lt;&lt;</w:t>
      </w:r>
      <w:r w:rsidR="00D43CEF" w:rsidRPr="00890739">
        <w:rPr>
          <w:highlight w:val="yellow"/>
        </w:rPr>
        <w:t>Gross Ultra Low Sulfur, No. 2 Diesel Fuel</w:t>
      </w:r>
      <w:r w:rsidRPr="000E5208">
        <w:rPr>
          <w:highlight w:val="yellow"/>
        </w:rPr>
        <w:t>&gt;&gt;&gt;</w:t>
      </w:r>
      <w:r w:rsidR="00D43CEF" w:rsidRPr="000E5208">
        <w:t xml:space="preserve"> </w:t>
      </w:r>
      <w:r w:rsidR="00D43CEF">
        <w:t xml:space="preserve">using price data obtained from the Oil Price Information Service (OPIS), which publishes a weekly newsletter on the distillate </w:t>
      </w:r>
      <w:r w:rsidR="00890739">
        <w:t>wholesale</w:t>
      </w:r>
      <w:r w:rsidR="00D43CEF">
        <w:t xml:space="preserve"> rack prices for major cities throughout the United States. The OPIS 5-day newsletter average rack price reported for </w:t>
      </w:r>
      <w:r w:rsidRPr="000E5208">
        <w:rPr>
          <w:highlight w:val="yellow"/>
        </w:rPr>
        <w:t>&lt;&lt;&lt;</w:t>
      </w:r>
      <w:r w:rsidR="00D43CEF" w:rsidRPr="000E5208">
        <w:rPr>
          <w:highlight w:val="yellow"/>
        </w:rPr>
        <w:t>insert the applicable rack city</w:t>
      </w:r>
      <w:r w:rsidRPr="000E5208">
        <w:rPr>
          <w:highlight w:val="yellow"/>
        </w:rPr>
        <w:t>&gt;&gt;&gt;</w:t>
      </w:r>
      <w:r w:rsidR="00D43CEF" w:rsidRPr="008A20CE">
        <w:t xml:space="preserve"> </w:t>
      </w:r>
      <w:r w:rsidR="00D43CEF">
        <w:t>will be averaged and used to establish a base price index (BPI) for this project and a monthly performance price index (MPPI), for the duration of the contract. These indexes are defined as follows:</w:t>
      </w:r>
    </w:p>
    <w:p w14:paraId="7D98EC43" w14:textId="5BE91E1D" w:rsidR="00D43CEF" w:rsidRDefault="008D40C1" w:rsidP="007F2CCC">
      <w:pPr>
        <w:pStyle w:val="BodyText"/>
        <w:ind w:left="720"/>
      </w:pPr>
      <w:r w:rsidRPr="00EC0BFA">
        <w:rPr>
          <w:b/>
          <w:bCs/>
        </w:rPr>
        <w:t xml:space="preserve">(1) Base </w:t>
      </w:r>
      <w:r w:rsidR="005C1032">
        <w:rPr>
          <w:b/>
          <w:bCs/>
        </w:rPr>
        <w:t>p</w:t>
      </w:r>
      <w:r w:rsidRPr="00EC0BFA">
        <w:rPr>
          <w:b/>
          <w:bCs/>
        </w:rPr>
        <w:t xml:space="preserve">rice </w:t>
      </w:r>
      <w:r w:rsidR="005C1032">
        <w:rPr>
          <w:b/>
          <w:bCs/>
        </w:rPr>
        <w:t>i</w:t>
      </w:r>
      <w:r w:rsidRPr="00EC0BFA">
        <w:rPr>
          <w:b/>
          <w:bCs/>
        </w:rPr>
        <w:t>ndex.</w:t>
      </w:r>
      <w:r>
        <w:t xml:space="preserve"> </w:t>
      </w:r>
      <w:r w:rsidR="00D43CEF">
        <w:t xml:space="preserve">The BPI is the price index posted by the Government as determined by arithmetic average, as specified above, shown in the four weekly publications immediately </w:t>
      </w:r>
      <w:r w:rsidR="00245838">
        <w:t>before contract award</w:t>
      </w:r>
      <w:r w:rsidR="00D43CEF">
        <w:t>. It is as follows:</w:t>
      </w:r>
    </w:p>
    <w:p w14:paraId="44C3BDAD" w14:textId="6923AA5F" w:rsidR="008D40C1" w:rsidRDefault="008D40C1" w:rsidP="00D672F1">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EC0BFA">
        <w:rPr>
          <w:rFonts w:ascii="Times New Roman" w:eastAsia="MS Mincho" w:hAnsi="Times New Roman"/>
          <w:bCs/>
          <w:vanish/>
          <w:sz w:val="24"/>
          <w:szCs w:val="24"/>
        </w:rPr>
        <w:t xml:space="preserve">If the project is in California replace </w:t>
      </w:r>
      <w:r w:rsidRPr="007F2CCC">
        <w:rPr>
          <w:rFonts w:ascii="Times New Roman" w:eastAsia="MS Mincho" w:hAnsi="Times New Roman"/>
          <w:bCs/>
          <w:vanish/>
          <w:sz w:val="24"/>
          <w:szCs w:val="24"/>
          <w:highlight w:val="yellow"/>
        </w:rPr>
        <w:t>Gross Ultra Low Sulfur, No. 2 Diesel Fuel</w:t>
      </w:r>
      <w:r w:rsidRPr="00EC0BFA">
        <w:rPr>
          <w:rFonts w:ascii="Times New Roman" w:eastAsia="MS Mincho" w:hAnsi="Times New Roman"/>
          <w:bCs/>
          <w:vanish/>
          <w:sz w:val="24"/>
          <w:szCs w:val="24"/>
        </w:rPr>
        <w:t xml:space="preserve"> below with “Gross CARB Ultra Low Sulfur, No. 2 Diesel Fuel”.</w:t>
      </w:r>
    </w:p>
    <w:p w14:paraId="6C6F9E50" w14:textId="7537FD83" w:rsidR="00D43CEF" w:rsidRDefault="00D43CEF" w:rsidP="003C67D9">
      <w:pPr>
        <w:pStyle w:val="BodyText"/>
        <w:ind w:left="720"/>
        <w:rPr>
          <w:u w:val="single"/>
        </w:rPr>
      </w:pPr>
      <w:r>
        <w:lastRenderedPageBreak/>
        <w:t xml:space="preserve">BPI </w:t>
      </w:r>
      <w:r w:rsidR="00EF6D02">
        <w:t xml:space="preserve">for </w:t>
      </w:r>
      <w:r w:rsidR="000E5208" w:rsidRPr="000E5208">
        <w:rPr>
          <w:highlight w:val="yellow"/>
        </w:rPr>
        <w:t>&lt;&lt;&lt;</w:t>
      </w:r>
      <w:r w:rsidR="00EF6D02" w:rsidRPr="000E5208">
        <w:rPr>
          <w:highlight w:val="yellow"/>
        </w:rPr>
        <w:t xml:space="preserve">Gross Ultra Low Sulfur, No. 2 </w:t>
      </w:r>
      <w:r w:rsidR="009E27E8" w:rsidRPr="000E5208">
        <w:rPr>
          <w:highlight w:val="yellow"/>
        </w:rPr>
        <w:t xml:space="preserve">Diesel </w:t>
      </w:r>
      <w:r w:rsidR="00EF6D02" w:rsidRPr="000E5208">
        <w:rPr>
          <w:highlight w:val="yellow"/>
        </w:rPr>
        <w:t>Fuel</w:t>
      </w:r>
      <w:r w:rsidR="000E5208" w:rsidRPr="000E5208">
        <w:rPr>
          <w:highlight w:val="yellow"/>
        </w:rPr>
        <w:t>&gt;&gt;&gt;</w:t>
      </w:r>
      <w:r w:rsidR="00EF6D02">
        <w:t xml:space="preserve"> = </w:t>
      </w:r>
      <w:r w:rsidRPr="006211EC">
        <w:t>$</w:t>
      </w:r>
      <w:r w:rsidRPr="007F2CCC">
        <w:t xml:space="preserve"> </w:t>
      </w:r>
      <w:r w:rsidRPr="00077A31">
        <w:rPr>
          <w:u w:val="single"/>
        </w:rPr>
        <w:t>See Note (1) below</w:t>
      </w:r>
      <w:r w:rsidR="00EF6D02" w:rsidRPr="007F2CCC">
        <w:t xml:space="preserve"> per gallon</w:t>
      </w:r>
    </w:p>
    <w:p w14:paraId="111966B7" w14:textId="3CFEE1C1" w:rsidR="00D43CEF" w:rsidRDefault="00D43CEF" w:rsidP="003C67D9">
      <w:pPr>
        <w:pStyle w:val="BodyText"/>
        <w:ind w:left="720"/>
      </w:pPr>
      <w:r>
        <w:t xml:space="preserve">Note (1): BPI calculated by the Government and inserted here </w:t>
      </w:r>
      <w:r w:rsidR="00245838">
        <w:t xml:space="preserve">immediately before </w:t>
      </w:r>
      <w:r w:rsidR="00007C3A">
        <w:t>contract award</w:t>
      </w:r>
      <w:r>
        <w:t>.</w:t>
      </w:r>
    </w:p>
    <w:p w14:paraId="08421F26" w14:textId="7BAD3E87" w:rsidR="00D43CEF" w:rsidRDefault="008D40C1" w:rsidP="007F2CCC">
      <w:pPr>
        <w:pStyle w:val="BodyText"/>
        <w:ind w:left="720"/>
      </w:pPr>
      <w:r w:rsidRPr="00EC0BFA">
        <w:rPr>
          <w:b/>
          <w:bCs/>
        </w:rPr>
        <w:t xml:space="preserve">(2) Monthly </w:t>
      </w:r>
      <w:r w:rsidR="005C1032">
        <w:rPr>
          <w:b/>
          <w:bCs/>
        </w:rPr>
        <w:t>p</w:t>
      </w:r>
      <w:r w:rsidRPr="00EC0BFA">
        <w:rPr>
          <w:b/>
          <w:bCs/>
        </w:rPr>
        <w:t xml:space="preserve">erformance </w:t>
      </w:r>
      <w:r w:rsidR="005C1032">
        <w:rPr>
          <w:b/>
          <w:bCs/>
        </w:rPr>
        <w:t>p</w:t>
      </w:r>
      <w:r w:rsidRPr="00EC0BFA">
        <w:rPr>
          <w:b/>
          <w:bCs/>
        </w:rPr>
        <w:t xml:space="preserve">rice </w:t>
      </w:r>
      <w:r w:rsidR="005C1032">
        <w:rPr>
          <w:b/>
          <w:bCs/>
        </w:rPr>
        <w:t>i</w:t>
      </w:r>
      <w:r w:rsidRPr="00EC0BFA">
        <w:rPr>
          <w:b/>
          <w:bCs/>
        </w:rPr>
        <w:t>ndex.</w:t>
      </w:r>
      <w:r w:rsidR="00D43CEF">
        <w:t xml:space="preserve"> The MPPI is the monthly price index at the time of performance of applicable work as determined by arithmetic average, as specified above, shown in the four weekly publications issued </w:t>
      </w:r>
      <w:r w:rsidR="00F11611">
        <w:t>before</w:t>
      </w:r>
      <w:r w:rsidR="00D43CEF">
        <w:t xml:space="preserve"> the last Wednesday of the month (the </w:t>
      </w:r>
      <w:r w:rsidR="005C1032">
        <w:t>MPPI</w:t>
      </w:r>
      <w:r w:rsidR="00D43CEF">
        <w:t xml:space="preserve"> during which diesel fuel is consumed in the performance of applicable construction work).</w:t>
      </w:r>
    </w:p>
    <w:p w14:paraId="1BFBA807" w14:textId="7209383B" w:rsidR="00D43CEF" w:rsidRDefault="005C1032" w:rsidP="007F2CCC">
      <w:pPr>
        <w:pStyle w:val="BodyText"/>
        <w:ind w:left="360"/>
      </w:pPr>
      <w:r w:rsidRPr="00EC0BFA">
        <w:rPr>
          <w:b/>
          <w:bCs/>
        </w:rPr>
        <w:t xml:space="preserve">(c) Price </w:t>
      </w:r>
      <w:r>
        <w:rPr>
          <w:b/>
          <w:bCs/>
        </w:rPr>
        <w:t>a</w:t>
      </w:r>
      <w:r w:rsidRPr="00EC0BFA">
        <w:rPr>
          <w:b/>
          <w:bCs/>
        </w:rPr>
        <w:t>djustments.</w:t>
      </w:r>
      <w:r>
        <w:t xml:space="preserve"> </w:t>
      </w:r>
      <w:r w:rsidR="00D43CEF">
        <w:t>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1490007A" w14:textId="4B5A8296" w:rsidR="00D43CEF" w:rsidRDefault="005C1032" w:rsidP="007F2CCC">
      <w:pPr>
        <w:pStyle w:val="BodyText"/>
        <w:ind w:left="720"/>
        <w:rPr>
          <w:caps/>
        </w:rPr>
      </w:pPr>
      <w:r>
        <w:rPr>
          <w:b/>
          <w:bCs/>
        </w:rPr>
        <w:t>(1) No price adjustment.</w:t>
      </w:r>
      <w:r w:rsidR="00D43CEF">
        <w:rPr>
          <w:b/>
          <w:bCs/>
          <w:caps/>
        </w:rPr>
        <w:t xml:space="preserve"> </w:t>
      </w:r>
      <w:r w:rsidR="00D43CEF">
        <w:rPr>
          <w:caps/>
        </w:rPr>
        <w:t>w</w:t>
      </w:r>
      <w:r w:rsidR="00D43CEF">
        <w:t>hen the ratio MPPI/BPI falls within the range of 0.90 to 1.10, no price adjustment will be made for any diesel fuel consumed in construction work performed during the relevant month.</w:t>
      </w:r>
    </w:p>
    <w:p w14:paraId="028820C1" w14:textId="578F5574" w:rsidR="00D43CEF" w:rsidRDefault="005C1032" w:rsidP="007F2CCC">
      <w:pPr>
        <w:pStyle w:val="BodyText"/>
        <w:ind w:left="720"/>
        <w:rPr>
          <w:caps/>
        </w:rPr>
      </w:pPr>
      <w:r>
        <w:rPr>
          <w:b/>
          <w:bCs/>
        </w:rPr>
        <w:t xml:space="preserve">(2) </w:t>
      </w:r>
      <w:r w:rsidR="00D43CEF">
        <w:rPr>
          <w:b/>
          <w:bCs/>
        </w:rPr>
        <w:t xml:space="preserve">Government </w:t>
      </w:r>
      <w:r>
        <w:rPr>
          <w:b/>
          <w:bCs/>
        </w:rPr>
        <w:t>re</w:t>
      </w:r>
      <w:r w:rsidR="00D43CEF">
        <w:rPr>
          <w:b/>
          <w:bCs/>
        </w:rPr>
        <w:t>bate</w:t>
      </w:r>
      <w:r>
        <w:rPr>
          <w:b/>
          <w:bCs/>
        </w:rPr>
        <w:t>.</w:t>
      </w:r>
      <w:r w:rsidR="00D43CEF">
        <w:rPr>
          <w:caps/>
        </w:rPr>
        <w:t xml:space="preserve"> W</w:t>
      </w:r>
      <w:r w:rsidR="00D43CEF">
        <w:t xml:space="preserve">hen the ratio MPPI/BPI is calculated to be less than 0.90, the Government is due a rebate determined </w:t>
      </w:r>
      <w:r w:rsidR="00F71581">
        <w:t>according to</w:t>
      </w:r>
      <w:r w:rsidR="00D43CEF">
        <w:t xml:space="preserve"> the following formula:</w:t>
      </w:r>
    </w:p>
    <w:p w14:paraId="0107706F" w14:textId="77777777" w:rsidR="00D43CEF" w:rsidRDefault="00D43CEF" w:rsidP="003C67D9">
      <w:pPr>
        <w:pStyle w:val="BodyText"/>
        <w:ind w:left="720"/>
      </w:pPr>
      <w:r>
        <w:rPr>
          <w:caps/>
        </w:rPr>
        <w:t>G</w:t>
      </w:r>
      <w:r>
        <w:t>overnment Rebate = [0.90 – (MPPI/BPI)] (BPI) (Q) (FUF)</w:t>
      </w:r>
    </w:p>
    <w:p w14:paraId="2B93BFAC" w14:textId="2BC26AE1" w:rsidR="00D43CEF" w:rsidRDefault="005C1032" w:rsidP="007F2CCC">
      <w:pPr>
        <w:pStyle w:val="BodyText"/>
        <w:ind w:left="720"/>
        <w:rPr>
          <w:caps/>
        </w:rPr>
      </w:pPr>
      <w:r>
        <w:rPr>
          <w:b/>
          <w:bCs/>
        </w:rPr>
        <w:t xml:space="preserve">(3) </w:t>
      </w:r>
      <w:r w:rsidR="00D43CEF">
        <w:rPr>
          <w:b/>
          <w:bCs/>
        </w:rPr>
        <w:t xml:space="preserve">Contractor </w:t>
      </w:r>
      <w:r>
        <w:rPr>
          <w:b/>
          <w:bCs/>
        </w:rPr>
        <w:t>p</w:t>
      </w:r>
      <w:r w:rsidR="00D43CEF">
        <w:rPr>
          <w:b/>
          <w:bCs/>
        </w:rPr>
        <w:t>ayment</w:t>
      </w:r>
      <w:r>
        <w:rPr>
          <w:b/>
          <w:bCs/>
        </w:rPr>
        <w:t>.</w:t>
      </w:r>
      <w:r w:rsidR="00D43CEF">
        <w:t xml:space="preserve"> </w:t>
      </w:r>
      <w:r w:rsidR="00D43CEF">
        <w:rPr>
          <w:caps/>
        </w:rPr>
        <w:t>W</w:t>
      </w:r>
      <w:r w:rsidR="00D43CEF">
        <w:t xml:space="preserve">hen the ratio MPPI/BPI is calculated to be greater than 1.10, the Contractor is due additional payment determined </w:t>
      </w:r>
      <w:r w:rsidR="00F71581">
        <w:t xml:space="preserve">according to </w:t>
      </w:r>
      <w:r w:rsidR="00D43CEF">
        <w:t>the following formula:</w:t>
      </w:r>
    </w:p>
    <w:p w14:paraId="002BC5A9" w14:textId="77777777" w:rsidR="00D43CEF" w:rsidRDefault="00D43CEF" w:rsidP="003C67D9">
      <w:pPr>
        <w:pStyle w:val="BodyText"/>
        <w:ind w:left="720"/>
      </w:pPr>
      <w:r>
        <w:t>Contractor Payment = [(MPPI/BPI) – 1.10] (BPI) (Q) (FUF)</w:t>
      </w:r>
    </w:p>
    <w:p w14:paraId="09DF4121" w14:textId="597E9FDB" w:rsidR="00D43CEF" w:rsidRDefault="00D43CEF" w:rsidP="003C67D9">
      <w:pPr>
        <w:pStyle w:val="BodyText"/>
      </w:pPr>
      <w:r>
        <w:t xml:space="preserve">The following definitions are applicable to both the Government </w:t>
      </w:r>
      <w:r w:rsidR="005C1032">
        <w:t>r</w:t>
      </w:r>
      <w:r>
        <w:t xml:space="preserve">ebate and the Contractor </w:t>
      </w:r>
      <w:r w:rsidR="005C1032">
        <w:t>p</w:t>
      </w:r>
      <w:r>
        <w:t>ayment formulas:</w:t>
      </w:r>
    </w:p>
    <w:p w14:paraId="227A7353" w14:textId="0B62986F" w:rsidR="00D43CEF" w:rsidRDefault="00D43CEF" w:rsidP="003C67D9">
      <w:pPr>
        <w:pStyle w:val="BodyText"/>
        <w:tabs>
          <w:tab w:val="left" w:pos="1440"/>
        </w:tabs>
        <w:ind w:left="360"/>
      </w:pPr>
      <w:r>
        <w:t xml:space="preserve">MPPI = </w:t>
      </w:r>
      <w:r w:rsidR="003C67D9">
        <w:tab/>
      </w:r>
      <w:r>
        <w:t>Monthly Performance Price Index for the month during which motor diesel fuel is consumed in the performance of applicable construction work.</w:t>
      </w:r>
    </w:p>
    <w:p w14:paraId="78976536" w14:textId="33B5210E" w:rsidR="00D43CEF" w:rsidRDefault="00D43CEF" w:rsidP="003C67D9">
      <w:pPr>
        <w:pStyle w:val="BodyText"/>
        <w:tabs>
          <w:tab w:val="left" w:pos="1440"/>
        </w:tabs>
        <w:ind w:left="360"/>
      </w:pPr>
      <w:r>
        <w:t xml:space="preserve">BPI = </w:t>
      </w:r>
      <w:r>
        <w:tab/>
        <w:t xml:space="preserve">Base Price Index that is established immediately </w:t>
      </w:r>
      <w:r w:rsidR="00245838">
        <w:t>before contract award</w:t>
      </w:r>
      <w:r>
        <w:t>.</w:t>
      </w:r>
    </w:p>
    <w:p w14:paraId="62A65259" w14:textId="35EBB4C0" w:rsidR="00D43CEF" w:rsidRDefault="00D43CEF" w:rsidP="003C67D9">
      <w:pPr>
        <w:pStyle w:val="BodyText"/>
        <w:tabs>
          <w:tab w:val="left" w:pos="1440"/>
        </w:tabs>
        <w:ind w:left="360"/>
      </w:pPr>
      <w:r>
        <w:t>Q =</w:t>
      </w:r>
      <w:r w:rsidR="003C67D9">
        <w:t xml:space="preserve"> </w:t>
      </w:r>
      <w:r w:rsidR="003C67D9">
        <w:tab/>
      </w:r>
      <w:r>
        <w:t xml:space="preserve">Quantity of work on the project during the progress payment period for eligible pay items shown in Table </w:t>
      </w:r>
      <w:r w:rsidR="00007C3A">
        <w:t>109-</w:t>
      </w:r>
      <w:r>
        <w:t>1 below. The Government, to agree with the units associated with the applicable Fuel Usage Factor, will convert work quantities, as necessary.</w:t>
      </w:r>
    </w:p>
    <w:p w14:paraId="45A04718" w14:textId="398A890B" w:rsidR="00D43CEF" w:rsidRDefault="00D43CEF" w:rsidP="003C67D9">
      <w:pPr>
        <w:pStyle w:val="BodyText"/>
        <w:tabs>
          <w:tab w:val="left" w:pos="1440"/>
        </w:tabs>
        <w:ind w:left="360"/>
      </w:pPr>
      <w:r>
        <w:t xml:space="preserve">FUF = </w:t>
      </w:r>
      <w:r w:rsidR="003C67D9">
        <w:tab/>
        <w:t>F</w:t>
      </w:r>
      <w:r>
        <w:t>uel Usage Factor shown in Table 1</w:t>
      </w:r>
      <w:r w:rsidR="00B63E98">
        <w:t>09-1</w:t>
      </w:r>
      <w:r>
        <w:t xml:space="preserve"> applicable to No. 2 diesel fuel.</w:t>
      </w:r>
    </w:p>
    <w:p w14:paraId="76E5FEB1" w14:textId="77777777" w:rsidR="00386F0C" w:rsidRDefault="00386F0C" w:rsidP="00386F0C">
      <w:pPr>
        <w:pStyle w:val="PlainText"/>
        <w:jc w:val="center"/>
        <w:rPr>
          <w:rFonts w:ascii="Times New Roman" w:eastAsia="MS Mincho" w:hAnsi="Times New Roman"/>
          <w:b/>
          <w:bCs/>
          <w:sz w:val="24"/>
        </w:rPr>
      </w:pPr>
      <w:r>
        <w:rPr>
          <w:rFonts w:ascii="Times New Roman" w:eastAsia="MS Mincho" w:hAnsi="Times New Roman"/>
          <w:b/>
          <w:bCs/>
          <w:sz w:val="24"/>
        </w:rPr>
        <w:t>Table 109-1</w:t>
      </w:r>
    </w:p>
    <w:p w14:paraId="186F0A2C" w14:textId="7068BBCB" w:rsidR="00386F0C" w:rsidRDefault="00386F0C" w:rsidP="002A4E42">
      <w:pPr>
        <w:pStyle w:val="BodyText"/>
        <w:tabs>
          <w:tab w:val="left" w:pos="1440"/>
        </w:tabs>
        <w:spacing w:after="0"/>
        <w:jc w:val="center"/>
      </w:pPr>
      <w:r w:rsidRPr="00BF2A15">
        <w:rPr>
          <w:rFonts w:eastAsia="MS Mincho"/>
          <w:b/>
          <w:bCs/>
        </w:rPr>
        <w:t>Fuel Usage Factors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0"/>
        <w:gridCol w:w="2055"/>
      </w:tblGrid>
      <w:tr w:rsidR="005460F3" w14:paraId="761EF2DB" w14:textId="77777777" w:rsidTr="00386F0C">
        <w:trPr>
          <w:tblHeader/>
        </w:trPr>
        <w:tc>
          <w:tcPr>
            <w:tcW w:w="6750" w:type="dxa"/>
            <w:tcBorders>
              <w:top w:val="single" w:sz="4" w:space="0" w:color="auto"/>
              <w:left w:val="single" w:sz="4" w:space="0" w:color="auto"/>
              <w:bottom w:val="single" w:sz="4" w:space="0" w:color="auto"/>
            </w:tcBorders>
            <w:shd w:val="clear" w:color="auto" w:fill="auto"/>
          </w:tcPr>
          <w:p w14:paraId="70446DDC" w14:textId="7DB9BA8F" w:rsidR="005460F3" w:rsidRPr="005460F3" w:rsidRDefault="005460F3" w:rsidP="00386F0C">
            <w:pPr>
              <w:pStyle w:val="PlainText"/>
              <w:jc w:val="center"/>
              <w:rPr>
                <w:rFonts w:ascii="Times New Roman" w:eastAsia="MS Mincho" w:hAnsi="Times New Roman"/>
                <w:b/>
                <w:bCs/>
                <w:szCs w:val="16"/>
              </w:rPr>
            </w:pPr>
            <w:r w:rsidRPr="005460F3">
              <w:rPr>
                <w:rFonts w:ascii="Times New Roman" w:eastAsia="MS Mincho" w:hAnsi="Times New Roman"/>
                <w:b/>
                <w:bCs/>
                <w:szCs w:val="16"/>
              </w:rPr>
              <w:lastRenderedPageBreak/>
              <w:t>Pay Items</w:t>
            </w:r>
          </w:p>
        </w:tc>
        <w:tc>
          <w:tcPr>
            <w:tcW w:w="2055" w:type="dxa"/>
            <w:tcBorders>
              <w:top w:val="single" w:sz="4" w:space="0" w:color="auto"/>
              <w:bottom w:val="single" w:sz="4" w:space="0" w:color="auto"/>
            </w:tcBorders>
            <w:shd w:val="clear" w:color="auto" w:fill="auto"/>
          </w:tcPr>
          <w:p w14:paraId="4A79ADCA" w14:textId="2A1F5082" w:rsidR="005460F3" w:rsidRPr="005460F3" w:rsidRDefault="005460F3" w:rsidP="005460F3">
            <w:pPr>
              <w:pStyle w:val="PlainText"/>
              <w:jc w:val="center"/>
              <w:rPr>
                <w:rFonts w:ascii="Times New Roman" w:eastAsia="MS Mincho" w:hAnsi="Times New Roman"/>
                <w:b/>
                <w:bCs/>
                <w:szCs w:val="16"/>
              </w:rPr>
            </w:pPr>
            <w:r w:rsidRPr="005460F3">
              <w:rPr>
                <w:rFonts w:ascii="Times New Roman" w:eastAsia="MS Mincho" w:hAnsi="Times New Roman"/>
                <w:b/>
                <w:bCs/>
                <w:szCs w:val="16"/>
              </w:rPr>
              <w:t>Fuel Usage Factor</w:t>
            </w:r>
            <w:r w:rsidR="00B63E98" w:rsidRPr="007F2CCC">
              <w:rPr>
                <w:rFonts w:ascii="Times New Roman" w:eastAsia="MS Mincho" w:hAnsi="Times New Roman"/>
                <w:b/>
                <w:bCs/>
                <w:szCs w:val="16"/>
                <w:vertAlign w:val="superscript"/>
              </w:rPr>
              <w:t>(2)</w:t>
            </w:r>
          </w:p>
        </w:tc>
      </w:tr>
      <w:tr w:rsidR="005460F3" w14:paraId="29203734" w14:textId="77777777" w:rsidTr="00386F0C">
        <w:tc>
          <w:tcPr>
            <w:tcW w:w="6750" w:type="dxa"/>
            <w:tcBorders>
              <w:left w:val="single" w:sz="4" w:space="0" w:color="auto"/>
              <w:bottom w:val="single" w:sz="4" w:space="0" w:color="auto"/>
            </w:tcBorders>
          </w:tcPr>
          <w:p w14:paraId="45A397FA" w14:textId="77777777" w:rsidR="005460F3" w:rsidRDefault="005460F3" w:rsidP="004B46C0">
            <w:pPr>
              <w:pStyle w:val="PlainText"/>
              <w:rPr>
                <w:rFonts w:ascii="Times New Roman" w:eastAsia="MS Mincho" w:hAnsi="Times New Roman"/>
                <w:b/>
                <w:bCs/>
              </w:rPr>
            </w:pPr>
            <w:r>
              <w:rPr>
                <w:rFonts w:ascii="Times New Roman" w:eastAsia="MS Mincho" w:hAnsi="Times New Roman"/>
                <w:b/>
                <w:bCs/>
              </w:rPr>
              <w:t>Section 204 – Excavation and Embankment</w:t>
            </w:r>
          </w:p>
          <w:p w14:paraId="300A370D" w14:textId="2C5DC160"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20401 Roadway excavation</w:t>
            </w:r>
          </w:p>
          <w:p w14:paraId="12EEB069" w14:textId="03030F6F" w:rsidR="005460F3" w:rsidRDefault="005460F3" w:rsidP="00522167">
            <w:pPr>
              <w:pStyle w:val="PlainText"/>
              <w:ind w:left="165" w:hanging="90"/>
              <w:rPr>
                <w:rFonts w:ascii="Times New Roman" w:eastAsia="MS Mincho" w:hAnsi="Times New Roman"/>
              </w:rPr>
            </w:pPr>
            <w:r>
              <w:rPr>
                <w:rFonts w:ascii="Times New Roman" w:eastAsia="MS Mincho" w:hAnsi="Times New Roman"/>
              </w:rPr>
              <w:t xml:space="preserve">20402 </w:t>
            </w:r>
            <w:proofErr w:type="spellStart"/>
            <w:r>
              <w:rPr>
                <w:rFonts w:ascii="Times New Roman" w:eastAsia="MS Mincho" w:hAnsi="Times New Roman"/>
              </w:rPr>
              <w:t>Subexcavation</w:t>
            </w:r>
            <w:proofErr w:type="spellEnd"/>
          </w:p>
          <w:p w14:paraId="69F278F2" w14:textId="215B2198"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20403 Unclassified borrow</w:t>
            </w:r>
          </w:p>
          <w:p w14:paraId="1616BCB9" w14:textId="56E1E1DB"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20404 Unclassified borrow</w:t>
            </w:r>
            <w:r w:rsidR="00B63E98" w:rsidRPr="00820434">
              <w:rPr>
                <w:rFonts w:ascii="Times New Roman" w:eastAsia="MS Mincho" w:hAnsi="Times New Roman"/>
                <w:vertAlign w:val="superscript"/>
              </w:rPr>
              <w:t>(1)</w:t>
            </w:r>
          </w:p>
          <w:p w14:paraId="0152D2C3" w14:textId="1AFF0911"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20410 Select borrow</w:t>
            </w:r>
          </w:p>
          <w:p w14:paraId="616C363D" w14:textId="675F9BA8"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20411 Select borrow</w:t>
            </w:r>
            <w:r w:rsidR="00B63E98" w:rsidRPr="00820434">
              <w:rPr>
                <w:rFonts w:ascii="Times New Roman" w:eastAsia="MS Mincho" w:hAnsi="Times New Roman"/>
                <w:vertAlign w:val="superscript"/>
              </w:rPr>
              <w:t>(1)</w:t>
            </w:r>
          </w:p>
          <w:p w14:paraId="1F9BAFBB" w14:textId="0222B506"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20420 Embankment construction</w:t>
            </w:r>
          </w:p>
          <w:p w14:paraId="32B1661C" w14:textId="4A7A1E8B" w:rsidR="005460F3" w:rsidRDefault="005460F3" w:rsidP="00522167">
            <w:pPr>
              <w:pStyle w:val="PlainText"/>
              <w:ind w:left="165" w:hanging="90"/>
              <w:rPr>
                <w:rFonts w:ascii="Times New Roman" w:eastAsia="MS Mincho" w:hAnsi="Times New Roman"/>
              </w:rPr>
            </w:pPr>
            <w:r>
              <w:rPr>
                <w:rFonts w:ascii="Times New Roman" w:eastAsia="MS Mincho" w:hAnsi="Times New Roman"/>
              </w:rPr>
              <w:t>20421 Rock excavation</w:t>
            </w:r>
          </w:p>
        </w:tc>
        <w:tc>
          <w:tcPr>
            <w:tcW w:w="2055" w:type="dxa"/>
            <w:tcBorders>
              <w:bottom w:val="single" w:sz="4" w:space="0" w:color="auto"/>
            </w:tcBorders>
          </w:tcPr>
          <w:p w14:paraId="5AA71D75"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0.30 gallons per cubic yard</w:t>
            </w:r>
          </w:p>
        </w:tc>
      </w:tr>
      <w:tr w:rsidR="005460F3" w14:paraId="5FE60C14" w14:textId="77777777" w:rsidTr="00386F0C">
        <w:tc>
          <w:tcPr>
            <w:tcW w:w="6750" w:type="dxa"/>
            <w:tcBorders>
              <w:left w:val="single" w:sz="4" w:space="0" w:color="auto"/>
            </w:tcBorders>
          </w:tcPr>
          <w:p w14:paraId="7493437A" w14:textId="77777777" w:rsidR="005460F3" w:rsidRDefault="005460F3" w:rsidP="004B46C0">
            <w:pPr>
              <w:pStyle w:val="PlainText"/>
              <w:rPr>
                <w:rFonts w:ascii="Times New Roman" w:eastAsia="MS Mincho" w:hAnsi="Times New Roman"/>
                <w:b/>
                <w:bCs/>
              </w:rPr>
            </w:pPr>
            <w:r>
              <w:rPr>
                <w:rFonts w:ascii="Times New Roman" w:eastAsia="MS Mincho" w:hAnsi="Times New Roman"/>
                <w:b/>
                <w:bCs/>
              </w:rPr>
              <w:t>Section 301 – Untreated Aggregate Courses</w:t>
            </w:r>
          </w:p>
          <w:p w14:paraId="509089A5" w14:textId="7AA9D778"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30101 Aggregate base</w:t>
            </w:r>
          </w:p>
          <w:p w14:paraId="53FD4F30" w14:textId="27708823"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30102 Aggregate base</w:t>
            </w:r>
            <w:r w:rsidR="00B63E98" w:rsidRPr="00820434">
              <w:rPr>
                <w:rFonts w:ascii="Times New Roman" w:eastAsia="MS Mincho" w:hAnsi="Times New Roman"/>
                <w:vertAlign w:val="superscript"/>
              </w:rPr>
              <w:t>(1)</w:t>
            </w:r>
          </w:p>
          <w:p w14:paraId="37D3D2E2" w14:textId="23D6BB75"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30103 Aggregate base</w:t>
            </w:r>
            <w:r w:rsidR="00B63E98" w:rsidRPr="00820434">
              <w:rPr>
                <w:rFonts w:ascii="Times New Roman" w:eastAsia="MS Mincho" w:hAnsi="Times New Roman"/>
                <w:vertAlign w:val="superscript"/>
              </w:rPr>
              <w:t>(1)</w:t>
            </w:r>
          </w:p>
          <w:p w14:paraId="544DF7E6" w14:textId="27465AEE"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30105 Subbase</w:t>
            </w:r>
          </w:p>
          <w:p w14:paraId="4E2C1D8D" w14:textId="7F0AECC7"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30106 Subbase</w:t>
            </w:r>
            <w:r w:rsidR="00820434" w:rsidRPr="00820434">
              <w:rPr>
                <w:rFonts w:ascii="Times New Roman" w:eastAsia="MS Mincho" w:hAnsi="Times New Roman"/>
                <w:vertAlign w:val="superscript"/>
              </w:rPr>
              <w:t>(1)</w:t>
            </w:r>
          </w:p>
          <w:p w14:paraId="0D7692C0" w14:textId="45861B51"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30107 Subbase</w:t>
            </w:r>
            <w:r w:rsidR="00820434" w:rsidRPr="00820434">
              <w:rPr>
                <w:rFonts w:ascii="Times New Roman" w:eastAsia="MS Mincho" w:hAnsi="Times New Roman"/>
                <w:vertAlign w:val="superscript"/>
              </w:rPr>
              <w:t>(1)</w:t>
            </w:r>
          </w:p>
          <w:p w14:paraId="18E89224" w14:textId="603018D6" w:rsidR="005460F3" w:rsidRDefault="005460F3" w:rsidP="00522167">
            <w:pPr>
              <w:pStyle w:val="PlainText"/>
              <w:ind w:left="165" w:hanging="90"/>
              <w:rPr>
                <w:rFonts w:ascii="Times New Roman" w:eastAsia="MS Mincho" w:hAnsi="Times New Roman"/>
              </w:rPr>
            </w:pPr>
            <w:r>
              <w:rPr>
                <w:rFonts w:ascii="Times New Roman" w:eastAsia="MS Mincho" w:hAnsi="Times New Roman"/>
              </w:rPr>
              <w:t>30110 Aggregate Surface Course</w:t>
            </w:r>
          </w:p>
          <w:p w14:paraId="2D3B2002" w14:textId="35FAE050" w:rsidR="005460F3" w:rsidRPr="00522167" w:rsidRDefault="005460F3" w:rsidP="00522167">
            <w:pPr>
              <w:pStyle w:val="PlainText"/>
              <w:ind w:left="165" w:hanging="90"/>
              <w:rPr>
                <w:rFonts w:ascii="Times New Roman" w:eastAsia="MS Mincho" w:hAnsi="Times New Roman"/>
              </w:rPr>
            </w:pPr>
            <w:r>
              <w:rPr>
                <w:rFonts w:ascii="Times New Roman" w:eastAsia="MS Mincho" w:hAnsi="Times New Roman"/>
              </w:rPr>
              <w:t>30111 Aggregate Surface Course</w:t>
            </w:r>
            <w:r w:rsidR="00820434" w:rsidRPr="00820434">
              <w:rPr>
                <w:rFonts w:ascii="Times New Roman" w:eastAsia="MS Mincho" w:hAnsi="Times New Roman"/>
                <w:vertAlign w:val="superscript"/>
              </w:rPr>
              <w:t>(1)</w:t>
            </w:r>
          </w:p>
          <w:p w14:paraId="5047B7A7" w14:textId="6EF77C67"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30112 Aggregate Surface Course</w:t>
            </w:r>
            <w:r w:rsidR="00B63E98" w:rsidRPr="00B46445">
              <w:rPr>
                <w:rFonts w:ascii="Times New Roman" w:eastAsia="MS Mincho" w:hAnsi="Times New Roman"/>
                <w:vertAlign w:val="superscript"/>
              </w:rPr>
              <w:t>(1)</w:t>
            </w:r>
            <w:r>
              <w:rPr>
                <w:rFonts w:ascii="Times New Roman" w:eastAsia="MS Mincho" w:hAnsi="Times New Roman"/>
              </w:rPr>
              <w:t xml:space="preserve"> </w:t>
            </w:r>
          </w:p>
        </w:tc>
        <w:tc>
          <w:tcPr>
            <w:tcW w:w="2055" w:type="dxa"/>
          </w:tcPr>
          <w:p w14:paraId="6A5D7415"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0.70 gallons per ton</w:t>
            </w:r>
          </w:p>
        </w:tc>
      </w:tr>
      <w:tr w:rsidR="005460F3" w14:paraId="7FBD2F15" w14:textId="77777777" w:rsidTr="00386F0C">
        <w:tc>
          <w:tcPr>
            <w:tcW w:w="6750" w:type="dxa"/>
            <w:tcBorders>
              <w:left w:val="single" w:sz="4" w:space="0" w:color="auto"/>
            </w:tcBorders>
          </w:tcPr>
          <w:p w14:paraId="176A57A6" w14:textId="77777777" w:rsidR="005460F3" w:rsidRDefault="005460F3" w:rsidP="004B46C0">
            <w:pPr>
              <w:pStyle w:val="PlainText"/>
              <w:rPr>
                <w:rFonts w:ascii="Times New Roman" w:eastAsia="MS Mincho" w:hAnsi="Times New Roman"/>
                <w:b/>
                <w:bCs/>
              </w:rPr>
            </w:pPr>
            <w:r>
              <w:rPr>
                <w:rFonts w:ascii="Times New Roman" w:eastAsia="MS Mincho" w:hAnsi="Times New Roman"/>
                <w:b/>
                <w:bCs/>
              </w:rPr>
              <w:t>Section 305 – Full Depth Reclamation (FDR) with Cement</w:t>
            </w:r>
          </w:p>
          <w:p w14:paraId="65B142DC" w14:textId="54687FE1" w:rsidR="005460F3" w:rsidRPr="00522167" w:rsidRDefault="005460F3" w:rsidP="00522167">
            <w:pPr>
              <w:pStyle w:val="PlainText"/>
              <w:ind w:left="165" w:hanging="90"/>
              <w:rPr>
                <w:rFonts w:ascii="Times New Roman" w:eastAsia="MS Mincho" w:hAnsi="Times New Roman"/>
              </w:rPr>
            </w:pPr>
            <w:r>
              <w:rPr>
                <w:rFonts w:ascii="Times New Roman" w:eastAsia="MS Mincho" w:hAnsi="Times New Roman"/>
                <w:bCs/>
              </w:rPr>
              <w:t xml:space="preserve">30501 </w:t>
            </w:r>
            <w:r w:rsidRPr="00522167">
              <w:rPr>
                <w:rFonts w:ascii="Times New Roman" w:eastAsia="MS Mincho" w:hAnsi="Times New Roman"/>
              </w:rPr>
              <w:t>FDR with Cement</w:t>
            </w:r>
            <w:r w:rsidR="00820434" w:rsidRPr="00820434">
              <w:rPr>
                <w:rFonts w:ascii="Times New Roman" w:eastAsia="MS Mincho" w:hAnsi="Times New Roman"/>
                <w:vertAlign w:val="superscript"/>
              </w:rPr>
              <w:t>(1)</w:t>
            </w:r>
          </w:p>
          <w:p w14:paraId="3E6ACA9A" w14:textId="69ACF4E7" w:rsidR="005460F3" w:rsidRPr="00B44EF9" w:rsidRDefault="005460F3" w:rsidP="00522167">
            <w:pPr>
              <w:pStyle w:val="PlainText"/>
              <w:ind w:left="165" w:hanging="90"/>
              <w:rPr>
                <w:rFonts w:ascii="Times New Roman" w:eastAsia="MS Mincho" w:hAnsi="Times New Roman"/>
                <w:bCs/>
              </w:rPr>
            </w:pPr>
            <w:r w:rsidRPr="00522167">
              <w:rPr>
                <w:rFonts w:ascii="Times New Roman" w:eastAsia="MS Mincho" w:hAnsi="Times New Roman"/>
              </w:rPr>
              <w:t>30502 FD</w:t>
            </w:r>
            <w:r>
              <w:rPr>
                <w:rFonts w:ascii="Times New Roman" w:eastAsia="MS Mincho" w:hAnsi="Times New Roman"/>
                <w:bCs/>
              </w:rPr>
              <w:t>R with Cement</w:t>
            </w:r>
          </w:p>
        </w:tc>
        <w:tc>
          <w:tcPr>
            <w:tcW w:w="2055" w:type="dxa"/>
          </w:tcPr>
          <w:p w14:paraId="21EB5BDA"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0.30 gallons per square yard</w:t>
            </w:r>
          </w:p>
        </w:tc>
      </w:tr>
      <w:tr w:rsidR="005460F3" w14:paraId="539A896C" w14:textId="77777777" w:rsidTr="00386F0C">
        <w:tc>
          <w:tcPr>
            <w:tcW w:w="6750" w:type="dxa"/>
            <w:tcBorders>
              <w:left w:val="single" w:sz="4" w:space="0" w:color="auto"/>
            </w:tcBorders>
          </w:tcPr>
          <w:p w14:paraId="17C4432D" w14:textId="3F68ABF7" w:rsidR="005460F3" w:rsidRDefault="00522167" w:rsidP="004B46C0">
            <w:pPr>
              <w:pStyle w:val="PlainText"/>
              <w:rPr>
                <w:rFonts w:ascii="Times New Roman" w:eastAsia="MS Mincho" w:hAnsi="Times New Roman"/>
                <w:b/>
                <w:bCs/>
              </w:rPr>
            </w:pPr>
            <w:r>
              <w:rPr>
                <w:rFonts w:ascii="Times New Roman" w:eastAsia="MS Mincho" w:hAnsi="Times New Roman"/>
                <w:b/>
                <w:bCs/>
              </w:rPr>
              <w:t>S</w:t>
            </w:r>
            <w:r w:rsidR="005460F3">
              <w:rPr>
                <w:rFonts w:ascii="Times New Roman" w:eastAsia="MS Mincho" w:hAnsi="Times New Roman"/>
                <w:b/>
                <w:bCs/>
              </w:rPr>
              <w:t>ection 306 – FDR with Asphalt</w:t>
            </w:r>
          </w:p>
          <w:p w14:paraId="5F51C347" w14:textId="29521BE5" w:rsidR="005460F3" w:rsidRDefault="005460F3" w:rsidP="00522167">
            <w:pPr>
              <w:pStyle w:val="PlainText"/>
              <w:ind w:left="165" w:hanging="90"/>
              <w:rPr>
                <w:rFonts w:ascii="Times New Roman" w:eastAsia="MS Mincho" w:hAnsi="Times New Roman"/>
              </w:rPr>
            </w:pPr>
            <w:r>
              <w:rPr>
                <w:rFonts w:ascii="Times New Roman" w:eastAsia="MS Mincho" w:hAnsi="Times New Roman"/>
              </w:rPr>
              <w:t>30601 FDR with Emulsified Asphalt</w:t>
            </w:r>
            <w:r w:rsidR="00820434" w:rsidRPr="00820434">
              <w:rPr>
                <w:rFonts w:ascii="Times New Roman" w:eastAsia="MS Mincho" w:hAnsi="Times New Roman"/>
                <w:vertAlign w:val="superscript"/>
              </w:rPr>
              <w:t>(1)</w:t>
            </w:r>
            <w:r w:rsidR="00820434" w:rsidRPr="00522167">
              <w:rPr>
                <w:rFonts w:ascii="Times New Roman" w:eastAsia="MS Mincho" w:hAnsi="Times New Roman"/>
              </w:rPr>
              <w:t xml:space="preserve"> </w:t>
            </w:r>
          </w:p>
          <w:p w14:paraId="5EBD61E5" w14:textId="59495042" w:rsidR="005460F3" w:rsidRDefault="005460F3" w:rsidP="00522167">
            <w:pPr>
              <w:pStyle w:val="PlainText"/>
              <w:ind w:left="165" w:hanging="90"/>
              <w:rPr>
                <w:rFonts w:ascii="Times New Roman" w:eastAsia="MS Mincho" w:hAnsi="Times New Roman"/>
              </w:rPr>
            </w:pPr>
            <w:r>
              <w:rPr>
                <w:rFonts w:ascii="Times New Roman" w:eastAsia="MS Mincho" w:hAnsi="Times New Roman"/>
              </w:rPr>
              <w:t>30602 FDR with Emulsified Asphalt</w:t>
            </w:r>
          </w:p>
          <w:p w14:paraId="226165A3" w14:textId="72305AF1" w:rsidR="005460F3" w:rsidRDefault="005460F3" w:rsidP="00522167">
            <w:pPr>
              <w:pStyle w:val="PlainText"/>
              <w:ind w:left="165" w:hanging="90"/>
              <w:rPr>
                <w:rFonts w:ascii="Times New Roman" w:eastAsia="MS Mincho" w:hAnsi="Times New Roman"/>
              </w:rPr>
            </w:pPr>
            <w:r>
              <w:rPr>
                <w:rFonts w:ascii="Times New Roman" w:eastAsia="MS Mincho" w:hAnsi="Times New Roman"/>
              </w:rPr>
              <w:t>30603 FDR with Foamed Asphalt</w:t>
            </w:r>
            <w:r w:rsidR="00820434" w:rsidRPr="00820434">
              <w:rPr>
                <w:rFonts w:ascii="Times New Roman" w:eastAsia="MS Mincho" w:hAnsi="Times New Roman"/>
                <w:vertAlign w:val="superscript"/>
              </w:rPr>
              <w:t>(1)</w:t>
            </w:r>
          </w:p>
          <w:p w14:paraId="0D84D0B8" w14:textId="243C66A8" w:rsidR="005460F3" w:rsidRDefault="005460F3" w:rsidP="00522167">
            <w:pPr>
              <w:pStyle w:val="PlainText"/>
              <w:ind w:left="165" w:hanging="90"/>
              <w:rPr>
                <w:rFonts w:ascii="Times New Roman" w:eastAsia="MS Mincho" w:hAnsi="Times New Roman"/>
              </w:rPr>
            </w:pPr>
            <w:r>
              <w:rPr>
                <w:rFonts w:ascii="Times New Roman" w:eastAsia="MS Mincho" w:hAnsi="Times New Roman"/>
              </w:rPr>
              <w:t>30604 FDR with Foamed Asphalt</w:t>
            </w:r>
          </w:p>
        </w:tc>
        <w:tc>
          <w:tcPr>
            <w:tcW w:w="2055" w:type="dxa"/>
          </w:tcPr>
          <w:p w14:paraId="3B47E6A8"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0.30 gallons per square yard</w:t>
            </w:r>
          </w:p>
        </w:tc>
      </w:tr>
      <w:tr w:rsidR="005460F3" w14:paraId="05A4CA5C" w14:textId="77777777" w:rsidTr="00386F0C">
        <w:tc>
          <w:tcPr>
            <w:tcW w:w="6750" w:type="dxa"/>
            <w:tcBorders>
              <w:left w:val="single" w:sz="4" w:space="0" w:color="auto"/>
            </w:tcBorders>
          </w:tcPr>
          <w:p w14:paraId="6A96C767" w14:textId="4EDFF85A" w:rsidR="005460F3" w:rsidRDefault="005460F3" w:rsidP="004B46C0">
            <w:pPr>
              <w:pStyle w:val="PlainText"/>
              <w:rPr>
                <w:rFonts w:ascii="Times New Roman" w:eastAsia="MS Mincho" w:hAnsi="Times New Roman"/>
                <w:b/>
                <w:bCs/>
              </w:rPr>
            </w:pPr>
            <w:r>
              <w:rPr>
                <w:rFonts w:ascii="Times New Roman" w:eastAsia="MS Mincho" w:hAnsi="Times New Roman"/>
                <w:b/>
                <w:bCs/>
              </w:rPr>
              <w:t>Section 308 – Emulsified Asphalt</w:t>
            </w:r>
            <w:r w:rsidR="00F76C2D">
              <w:rPr>
                <w:rFonts w:ascii="Times New Roman" w:eastAsia="MS Mincho" w:hAnsi="Times New Roman"/>
                <w:b/>
                <w:bCs/>
              </w:rPr>
              <w:t>-</w:t>
            </w:r>
            <w:r>
              <w:rPr>
                <w:rFonts w:ascii="Times New Roman" w:eastAsia="MS Mincho" w:hAnsi="Times New Roman"/>
                <w:b/>
                <w:bCs/>
              </w:rPr>
              <w:t xml:space="preserve"> Treated Base Course</w:t>
            </w:r>
          </w:p>
          <w:p w14:paraId="356CAC16" w14:textId="3F075E6E" w:rsidR="005460F3" w:rsidRDefault="005460F3" w:rsidP="00522167">
            <w:pPr>
              <w:pStyle w:val="PlainText"/>
              <w:ind w:left="165" w:hanging="90"/>
              <w:rPr>
                <w:rFonts w:ascii="Times New Roman" w:eastAsia="MS Mincho" w:hAnsi="Times New Roman"/>
              </w:rPr>
            </w:pPr>
            <w:r>
              <w:rPr>
                <w:rFonts w:ascii="Times New Roman" w:eastAsia="MS Mincho" w:hAnsi="Times New Roman"/>
              </w:rPr>
              <w:t>30801 Emulsified asphalt treated aggregate base</w:t>
            </w:r>
          </w:p>
          <w:p w14:paraId="25129086" w14:textId="4C659E4A" w:rsidR="005460F3" w:rsidRDefault="005460F3" w:rsidP="00522167">
            <w:pPr>
              <w:pStyle w:val="PlainText"/>
              <w:ind w:left="165" w:hanging="90"/>
              <w:rPr>
                <w:rFonts w:ascii="Times New Roman" w:eastAsia="MS Mincho" w:hAnsi="Times New Roman"/>
              </w:rPr>
            </w:pPr>
            <w:r>
              <w:rPr>
                <w:rFonts w:ascii="Times New Roman" w:eastAsia="MS Mincho" w:hAnsi="Times New Roman"/>
              </w:rPr>
              <w:t>30802 Emulsified asphalt treated aggregate base</w:t>
            </w:r>
            <w:r w:rsidR="00820434" w:rsidRPr="00820434">
              <w:rPr>
                <w:rFonts w:ascii="Times New Roman" w:eastAsia="MS Mincho" w:hAnsi="Times New Roman"/>
                <w:vertAlign w:val="superscript"/>
              </w:rPr>
              <w:t>(1)</w:t>
            </w:r>
          </w:p>
          <w:p w14:paraId="543F37ED" w14:textId="4613EEF9"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30803 Emulsified asphalt treated aggregate base</w:t>
            </w:r>
            <w:r w:rsidR="00B63E98" w:rsidRPr="00B46445">
              <w:rPr>
                <w:rFonts w:ascii="Times New Roman" w:eastAsia="MS Mincho" w:hAnsi="Times New Roman"/>
                <w:vertAlign w:val="superscript"/>
              </w:rPr>
              <w:t>(1)</w:t>
            </w:r>
          </w:p>
        </w:tc>
        <w:tc>
          <w:tcPr>
            <w:tcW w:w="2055" w:type="dxa"/>
          </w:tcPr>
          <w:p w14:paraId="1851515F"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0.70 gallons per ton</w:t>
            </w:r>
          </w:p>
        </w:tc>
      </w:tr>
      <w:tr w:rsidR="005460F3" w14:paraId="1D80AF1B" w14:textId="77777777" w:rsidTr="00386F0C">
        <w:tc>
          <w:tcPr>
            <w:tcW w:w="6750" w:type="dxa"/>
            <w:tcBorders>
              <w:left w:val="single" w:sz="4" w:space="0" w:color="auto"/>
            </w:tcBorders>
          </w:tcPr>
          <w:p w14:paraId="1DF3D3D0" w14:textId="77777777" w:rsidR="005460F3" w:rsidRDefault="005460F3" w:rsidP="004B46C0">
            <w:pPr>
              <w:pStyle w:val="PlainText"/>
              <w:rPr>
                <w:rFonts w:ascii="Times New Roman" w:eastAsia="MS Mincho" w:hAnsi="Times New Roman"/>
              </w:rPr>
            </w:pPr>
            <w:r>
              <w:rPr>
                <w:rFonts w:ascii="Times New Roman" w:eastAsia="MS Mincho" w:hAnsi="Times New Roman"/>
                <w:b/>
                <w:bCs/>
              </w:rPr>
              <w:t>Section 310 – Cold In-Place (CIP) Recycled Asphalt Base Course</w:t>
            </w:r>
          </w:p>
          <w:p w14:paraId="2E11995D" w14:textId="56B3287E" w:rsidR="005460F3" w:rsidRDefault="005460F3" w:rsidP="00522167">
            <w:pPr>
              <w:pStyle w:val="PlainText"/>
              <w:ind w:left="165" w:hanging="90"/>
              <w:rPr>
                <w:rFonts w:ascii="Times New Roman" w:eastAsia="MS Mincho" w:hAnsi="Times New Roman"/>
              </w:rPr>
            </w:pPr>
            <w:r>
              <w:rPr>
                <w:rFonts w:ascii="Times New Roman" w:eastAsia="MS Mincho" w:hAnsi="Times New Roman"/>
              </w:rPr>
              <w:t>31001 CIP Recycled asphalt base</w:t>
            </w:r>
            <w:r w:rsidR="00820434" w:rsidRPr="00820434">
              <w:rPr>
                <w:rFonts w:ascii="Times New Roman" w:eastAsia="MS Mincho" w:hAnsi="Times New Roman"/>
                <w:vertAlign w:val="superscript"/>
              </w:rPr>
              <w:t>(1)</w:t>
            </w:r>
          </w:p>
          <w:p w14:paraId="743541F6" w14:textId="27B73838"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 xml:space="preserve">31002 CIP Recycled asphalt </w:t>
            </w:r>
            <w:proofErr w:type="gramStart"/>
            <w:r>
              <w:rPr>
                <w:rFonts w:ascii="Times New Roman" w:eastAsia="MS Mincho" w:hAnsi="Times New Roman"/>
              </w:rPr>
              <w:t>base</w:t>
            </w:r>
            <w:proofErr w:type="gramEnd"/>
          </w:p>
        </w:tc>
        <w:tc>
          <w:tcPr>
            <w:tcW w:w="2055" w:type="dxa"/>
          </w:tcPr>
          <w:p w14:paraId="3A307344"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0.15 gallons per square yard</w:t>
            </w:r>
          </w:p>
        </w:tc>
      </w:tr>
      <w:tr w:rsidR="005460F3" w14:paraId="3BBA1F8F" w14:textId="77777777" w:rsidTr="00386F0C">
        <w:tc>
          <w:tcPr>
            <w:tcW w:w="6750" w:type="dxa"/>
            <w:tcBorders>
              <w:left w:val="single" w:sz="4" w:space="0" w:color="auto"/>
            </w:tcBorders>
          </w:tcPr>
          <w:p w14:paraId="6CCA59C6" w14:textId="77777777" w:rsidR="005460F3" w:rsidRDefault="005460F3" w:rsidP="004B46C0">
            <w:pPr>
              <w:pStyle w:val="PlainText"/>
              <w:rPr>
                <w:rFonts w:ascii="Times New Roman" w:eastAsia="MS Mincho" w:hAnsi="Times New Roman"/>
                <w:b/>
                <w:bCs/>
              </w:rPr>
            </w:pPr>
            <w:r>
              <w:rPr>
                <w:rFonts w:ascii="Times New Roman" w:eastAsia="MS Mincho" w:hAnsi="Times New Roman"/>
                <w:b/>
                <w:bCs/>
              </w:rPr>
              <w:t>Section 311 – Stabilized Aggregate Surface Course</w:t>
            </w:r>
          </w:p>
          <w:p w14:paraId="29E2FF43" w14:textId="1BAC6655" w:rsidR="005460F3" w:rsidRPr="00522167" w:rsidRDefault="005460F3" w:rsidP="00522167">
            <w:pPr>
              <w:pStyle w:val="PlainText"/>
              <w:ind w:left="165" w:hanging="90"/>
              <w:rPr>
                <w:rFonts w:ascii="Times New Roman" w:eastAsia="MS Mincho" w:hAnsi="Times New Roman"/>
              </w:rPr>
            </w:pPr>
            <w:r w:rsidRPr="00522167">
              <w:rPr>
                <w:rFonts w:ascii="Times New Roman" w:eastAsia="MS Mincho" w:hAnsi="Times New Roman"/>
              </w:rPr>
              <w:t>31101 Stabilized aggregate surface course</w:t>
            </w:r>
            <w:r w:rsidR="00820434" w:rsidRPr="00820434">
              <w:rPr>
                <w:rFonts w:ascii="Times New Roman" w:eastAsia="MS Mincho" w:hAnsi="Times New Roman"/>
                <w:vertAlign w:val="superscript"/>
              </w:rPr>
              <w:t>(1)</w:t>
            </w:r>
          </w:p>
          <w:p w14:paraId="04676A69" w14:textId="490E49D4" w:rsidR="005460F3" w:rsidRPr="00522167" w:rsidRDefault="005460F3" w:rsidP="00522167">
            <w:pPr>
              <w:pStyle w:val="PlainText"/>
              <w:ind w:left="165" w:hanging="90"/>
              <w:rPr>
                <w:rFonts w:ascii="Times New Roman" w:eastAsia="MS Mincho" w:hAnsi="Times New Roman"/>
              </w:rPr>
            </w:pPr>
            <w:r w:rsidRPr="00522167">
              <w:rPr>
                <w:rFonts w:ascii="Times New Roman" w:eastAsia="MS Mincho" w:hAnsi="Times New Roman"/>
              </w:rPr>
              <w:t>31102 Stabilized aggregate surface course</w:t>
            </w:r>
            <w:r w:rsidR="00820434" w:rsidRPr="00820434">
              <w:rPr>
                <w:rFonts w:ascii="Times New Roman" w:eastAsia="MS Mincho" w:hAnsi="Times New Roman"/>
                <w:vertAlign w:val="superscript"/>
              </w:rPr>
              <w:t>(1)</w:t>
            </w:r>
          </w:p>
          <w:p w14:paraId="0E69F30C" w14:textId="51798E73" w:rsidR="005460F3" w:rsidRPr="007F2A18" w:rsidRDefault="005460F3" w:rsidP="00522167">
            <w:pPr>
              <w:pStyle w:val="PlainText"/>
              <w:ind w:left="165" w:hanging="90"/>
              <w:rPr>
                <w:rFonts w:ascii="Times New Roman" w:eastAsia="MS Mincho" w:hAnsi="Times New Roman"/>
                <w:bCs/>
              </w:rPr>
            </w:pPr>
            <w:r w:rsidRPr="00522167">
              <w:rPr>
                <w:rFonts w:ascii="Times New Roman" w:eastAsia="MS Mincho" w:hAnsi="Times New Roman"/>
              </w:rPr>
              <w:t>31103 Stabilized</w:t>
            </w:r>
            <w:r>
              <w:rPr>
                <w:rFonts w:ascii="Times New Roman" w:eastAsia="MS Mincho" w:hAnsi="Times New Roman"/>
                <w:bCs/>
              </w:rPr>
              <w:t xml:space="preserve"> aggregate surface </w:t>
            </w:r>
            <w:proofErr w:type="gramStart"/>
            <w:r>
              <w:rPr>
                <w:rFonts w:ascii="Times New Roman" w:eastAsia="MS Mincho" w:hAnsi="Times New Roman"/>
                <w:bCs/>
              </w:rPr>
              <w:t>course</w:t>
            </w:r>
            <w:proofErr w:type="gramEnd"/>
          </w:p>
        </w:tc>
        <w:tc>
          <w:tcPr>
            <w:tcW w:w="2055" w:type="dxa"/>
          </w:tcPr>
          <w:p w14:paraId="119DCFFB"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0.70 gallons per ton</w:t>
            </w:r>
          </w:p>
        </w:tc>
      </w:tr>
      <w:tr w:rsidR="005460F3" w14:paraId="7768BFAA" w14:textId="77777777" w:rsidTr="00386F0C">
        <w:tc>
          <w:tcPr>
            <w:tcW w:w="6750" w:type="dxa"/>
            <w:tcBorders>
              <w:left w:val="single" w:sz="4" w:space="0" w:color="auto"/>
            </w:tcBorders>
          </w:tcPr>
          <w:p w14:paraId="74E87DBF" w14:textId="053ECC87" w:rsidR="005460F3" w:rsidRDefault="005460F3" w:rsidP="004B46C0">
            <w:pPr>
              <w:pStyle w:val="PlainText"/>
              <w:rPr>
                <w:rFonts w:ascii="Times New Roman" w:eastAsia="MS Mincho" w:hAnsi="Times New Roman"/>
              </w:rPr>
            </w:pPr>
            <w:r>
              <w:rPr>
                <w:rFonts w:ascii="Times New Roman" w:eastAsia="MS Mincho" w:hAnsi="Times New Roman"/>
                <w:b/>
                <w:bCs/>
              </w:rPr>
              <w:t xml:space="preserve">Section 401 – Asphalt Concrete Pavement </w:t>
            </w:r>
            <w:r w:rsidR="005C1032">
              <w:rPr>
                <w:rFonts w:ascii="Times New Roman" w:eastAsia="MS Mincho" w:hAnsi="Times New Roman"/>
                <w:b/>
                <w:bCs/>
              </w:rPr>
              <w:t>by</w:t>
            </w:r>
            <w:r>
              <w:rPr>
                <w:rFonts w:ascii="Times New Roman" w:eastAsia="MS Mincho" w:hAnsi="Times New Roman"/>
                <w:b/>
                <w:bCs/>
              </w:rPr>
              <w:t xml:space="preserve"> Gyratory Mix Design Method</w:t>
            </w:r>
          </w:p>
          <w:p w14:paraId="162CF602" w14:textId="15FAAC9D" w:rsidR="005460F3" w:rsidRDefault="005460F3" w:rsidP="00522167">
            <w:pPr>
              <w:pStyle w:val="PlainText"/>
              <w:ind w:left="165" w:hanging="90"/>
              <w:rPr>
                <w:rFonts w:ascii="Times New Roman" w:eastAsia="MS Mincho" w:hAnsi="Times New Roman"/>
              </w:rPr>
            </w:pPr>
            <w:r>
              <w:rPr>
                <w:rFonts w:ascii="Times New Roman" w:eastAsia="MS Mincho" w:hAnsi="Times New Roman"/>
              </w:rPr>
              <w:t xml:space="preserve">40101 </w:t>
            </w:r>
            <w:r w:rsidRPr="0076077D">
              <w:rPr>
                <w:rFonts w:ascii="Times New Roman" w:eastAsia="MS Mincho" w:hAnsi="Times New Roman"/>
              </w:rPr>
              <w:t>Asphalt concrete pavement, gyratory mix</w:t>
            </w:r>
          </w:p>
          <w:p w14:paraId="55E67AAD" w14:textId="3847911D"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 xml:space="preserve">40102 </w:t>
            </w:r>
            <w:r w:rsidRPr="0076077D">
              <w:rPr>
                <w:rFonts w:ascii="Times New Roman" w:eastAsia="MS Mincho" w:hAnsi="Times New Roman"/>
              </w:rPr>
              <w:t>Asphalt concrete pavement, gyratory mix</w:t>
            </w:r>
            <w:r>
              <w:rPr>
                <w:rFonts w:ascii="Times New Roman" w:eastAsia="MS Mincho" w:hAnsi="Times New Roman"/>
              </w:rPr>
              <w:t xml:space="preserve"> wedge and leveling course</w:t>
            </w:r>
          </w:p>
        </w:tc>
        <w:tc>
          <w:tcPr>
            <w:tcW w:w="2055" w:type="dxa"/>
          </w:tcPr>
          <w:p w14:paraId="05FD116C"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2.40 gallons per ton</w:t>
            </w:r>
          </w:p>
        </w:tc>
      </w:tr>
      <w:tr w:rsidR="005460F3" w14:paraId="290181BC" w14:textId="77777777" w:rsidTr="00386F0C">
        <w:tc>
          <w:tcPr>
            <w:tcW w:w="6750" w:type="dxa"/>
            <w:tcBorders>
              <w:left w:val="single" w:sz="4" w:space="0" w:color="auto"/>
            </w:tcBorders>
          </w:tcPr>
          <w:p w14:paraId="088DD35F" w14:textId="77777777" w:rsidR="005460F3" w:rsidRDefault="005460F3" w:rsidP="004B46C0">
            <w:pPr>
              <w:pStyle w:val="PlainText"/>
              <w:rPr>
                <w:rFonts w:ascii="Times New Roman" w:eastAsia="MS Mincho" w:hAnsi="Times New Roman"/>
              </w:rPr>
            </w:pPr>
            <w:r>
              <w:rPr>
                <w:rFonts w:ascii="Times New Roman" w:eastAsia="MS Mincho" w:hAnsi="Times New Roman"/>
                <w:b/>
                <w:bCs/>
              </w:rPr>
              <w:t xml:space="preserve">Section 402 – Asphalt Concrete Pavement by </w:t>
            </w:r>
            <w:proofErr w:type="spellStart"/>
            <w:r>
              <w:rPr>
                <w:rFonts w:ascii="Times New Roman" w:eastAsia="MS Mincho" w:hAnsi="Times New Roman"/>
                <w:b/>
                <w:bCs/>
              </w:rPr>
              <w:t>Hveem</w:t>
            </w:r>
            <w:proofErr w:type="spellEnd"/>
            <w:r>
              <w:rPr>
                <w:rFonts w:ascii="Times New Roman" w:eastAsia="MS Mincho" w:hAnsi="Times New Roman"/>
                <w:b/>
                <w:bCs/>
              </w:rPr>
              <w:t xml:space="preserve"> or Marshall Mix Design Method</w:t>
            </w:r>
          </w:p>
          <w:p w14:paraId="4FB095E3" w14:textId="60AD7BF7" w:rsidR="005460F3" w:rsidRDefault="005460F3" w:rsidP="00522167">
            <w:pPr>
              <w:pStyle w:val="PlainText"/>
              <w:ind w:left="165" w:hanging="90"/>
              <w:rPr>
                <w:rFonts w:ascii="Times New Roman" w:eastAsia="MS Mincho" w:hAnsi="Times New Roman"/>
              </w:rPr>
            </w:pPr>
            <w:r>
              <w:rPr>
                <w:rFonts w:ascii="Times New Roman" w:eastAsia="MS Mincho" w:hAnsi="Times New Roman"/>
              </w:rPr>
              <w:t xml:space="preserve">40201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r w:rsidR="00522167">
              <w:rPr>
                <w:rFonts w:ascii="Times New Roman" w:eastAsia="MS Mincho" w:hAnsi="Times New Roman"/>
              </w:rPr>
              <w:t xml:space="preserve"> </w:t>
            </w:r>
            <w:r>
              <w:rPr>
                <w:rFonts w:ascii="Times New Roman" w:eastAsia="MS Mincho" w:hAnsi="Times New Roman"/>
              </w:rPr>
              <w:t>Marshall mix</w:t>
            </w:r>
          </w:p>
          <w:p w14:paraId="0CAD4E82" w14:textId="2648D53C"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 xml:space="preserve">40202 Asphalt concrete pavement, </w:t>
            </w:r>
            <w:proofErr w:type="spellStart"/>
            <w:r>
              <w:rPr>
                <w:rFonts w:ascii="Times New Roman" w:eastAsia="MS Mincho" w:hAnsi="Times New Roman"/>
              </w:rPr>
              <w:t>Hveem</w:t>
            </w:r>
            <w:proofErr w:type="spellEnd"/>
            <w:r>
              <w:rPr>
                <w:rFonts w:ascii="Times New Roman" w:eastAsia="MS Mincho" w:hAnsi="Times New Roman"/>
              </w:rPr>
              <w:t xml:space="preserve"> or</w:t>
            </w:r>
            <w:r w:rsidR="00522167">
              <w:rPr>
                <w:rFonts w:ascii="Times New Roman" w:eastAsia="MS Mincho" w:hAnsi="Times New Roman"/>
              </w:rPr>
              <w:t xml:space="preserve"> </w:t>
            </w:r>
            <w:r>
              <w:rPr>
                <w:rFonts w:ascii="Times New Roman" w:eastAsia="MS Mincho" w:hAnsi="Times New Roman"/>
              </w:rPr>
              <w:t xml:space="preserve">Marshall mix, </w:t>
            </w:r>
            <w:proofErr w:type="gramStart"/>
            <w:r>
              <w:rPr>
                <w:rFonts w:ascii="Times New Roman" w:eastAsia="MS Mincho" w:hAnsi="Times New Roman"/>
              </w:rPr>
              <w:t>wedge</w:t>
            </w:r>
            <w:proofErr w:type="gramEnd"/>
            <w:r>
              <w:rPr>
                <w:rFonts w:ascii="Times New Roman" w:eastAsia="MS Mincho" w:hAnsi="Times New Roman"/>
              </w:rPr>
              <w:t xml:space="preserve"> and leveling course</w:t>
            </w:r>
          </w:p>
        </w:tc>
        <w:tc>
          <w:tcPr>
            <w:tcW w:w="2055" w:type="dxa"/>
          </w:tcPr>
          <w:p w14:paraId="6FA99017"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2.40 gallons per ton</w:t>
            </w:r>
          </w:p>
        </w:tc>
      </w:tr>
      <w:tr w:rsidR="005460F3" w14:paraId="67A5EF0D" w14:textId="77777777" w:rsidTr="00386F0C">
        <w:tc>
          <w:tcPr>
            <w:tcW w:w="6750" w:type="dxa"/>
            <w:tcBorders>
              <w:left w:val="single" w:sz="4" w:space="0" w:color="auto"/>
            </w:tcBorders>
          </w:tcPr>
          <w:p w14:paraId="07F6FE8C" w14:textId="77777777" w:rsidR="005460F3" w:rsidRDefault="005460F3" w:rsidP="004B46C0">
            <w:pPr>
              <w:pStyle w:val="PlainText"/>
              <w:rPr>
                <w:rFonts w:ascii="Times New Roman" w:eastAsia="MS Mincho" w:hAnsi="Times New Roman"/>
              </w:rPr>
            </w:pPr>
            <w:r>
              <w:rPr>
                <w:rFonts w:ascii="Times New Roman" w:eastAsia="MS Mincho" w:hAnsi="Times New Roman"/>
                <w:b/>
                <w:bCs/>
              </w:rPr>
              <w:t>Section 405 – Open-Graded Asphalt Friction Course</w:t>
            </w:r>
          </w:p>
          <w:p w14:paraId="298FEA00" w14:textId="0E7CF572" w:rsidR="005460F3" w:rsidRDefault="005460F3" w:rsidP="00522167">
            <w:pPr>
              <w:pStyle w:val="PlainText"/>
              <w:ind w:left="165" w:hanging="90"/>
              <w:rPr>
                <w:rFonts w:ascii="Times New Roman" w:eastAsia="MS Mincho" w:hAnsi="Times New Roman"/>
                <w:sz w:val="24"/>
              </w:rPr>
            </w:pPr>
            <w:r>
              <w:rPr>
                <w:rFonts w:ascii="Times New Roman" w:eastAsia="MS Mincho" w:hAnsi="Times New Roman"/>
              </w:rPr>
              <w:t xml:space="preserve">40501 Open-graded asphalt friction </w:t>
            </w:r>
            <w:proofErr w:type="gramStart"/>
            <w:r>
              <w:rPr>
                <w:rFonts w:ascii="Times New Roman" w:eastAsia="MS Mincho" w:hAnsi="Times New Roman"/>
              </w:rPr>
              <w:t>course</w:t>
            </w:r>
            <w:proofErr w:type="gramEnd"/>
          </w:p>
        </w:tc>
        <w:tc>
          <w:tcPr>
            <w:tcW w:w="2055" w:type="dxa"/>
          </w:tcPr>
          <w:p w14:paraId="1110B924" w14:textId="77777777" w:rsidR="005460F3" w:rsidRDefault="005460F3" w:rsidP="004B46C0">
            <w:pPr>
              <w:pStyle w:val="PlainText"/>
              <w:jc w:val="center"/>
              <w:rPr>
                <w:rFonts w:ascii="Times New Roman" w:eastAsia="MS Mincho" w:hAnsi="Times New Roman"/>
              </w:rPr>
            </w:pPr>
            <w:r>
              <w:rPr>
                <w:rFonts w:ascii="Times New Roman" w:eastAsia="MS Mincho" w:hAnsi="Times New Roman"/>
              </w:rPr>
              <w:t>2.40 gallons per ton</w:t>
            </w:r>
          </w:p>
        </w:tc>
      </w:tr>
    </w:tbl>
    <w:p w14:paraId="61CEDE81" w14:textId="77777777" w:rsidR="00B63E98" w:rsidRPr="007F2CCC" w:rsidRDefault="00B63E98" w:rsidP="007F2CCC">
      <w:pPr>
        <w:spacing w:after="0" w:line="240" w:lineRule="auto"/>
        <w:rPr>
          <w:rFonts w:ascii="Times New Roman" w:hAnsi="Times New Roman" w:cs="Times New Roman"/>
          <w:sz w:val="20"/>
          <w:szCs w:val="20"/>
        </w:rPr>
      </w:pPr>
      <w:r w:rsidRPr="007F2CCC">
        <w:rPr>
          <w:rFonts w:ascii="Times New Roman" w:hAnsi="Times New Roman" w:cs="Times New Roman"/>
          <w:sz w:val="20"/>
          <w:szCs w:val="20"/>
        </w:rPr>
        <w:t>(1) The Government will convert pay item quantities to match Fuel Usage Factor units.</w:t>
      </w:r>
    </w:p>
    <w:p w14:paraId="0C980424" w14:textId="4DED91DE" w:rsidR="008C3BA6" w:rsidRDefault="00B63E98" w:rsidP="006A5916">
      <w:pPr>
        <w:spacing w:after="240"/>
        <w:rPr>
          <w:rFonts w:ascii="Times New Roman" w:hAnsi="Times New Roman" w:cs="Times New Roman"/>
          <w:sz w:val="20"/>
          <w:szCs w:val="20"/>
        </w:rPr>
      </w:pPr>
      <w:r w:rsidRPr="007F2CCC">
        <w:rPr>
          <w:rFonts w:ascii="Times New Roman" w:hAnsi="Times New Roman" w:cs="Times New Roman"/>
          <w:sz w:val="20"/>
          <w:szCs w:val="20"/>
        </w:rPr>
        <w:t>(2) Fuel Usage Factor based on U.S. gallons.</w:t>
      </w:r>
    </w:p>
    <w:p w14:paraId="44674C97" w14:textId="06F9C64E" w:rsidR="00D43CEF" w:rsidRPr="00BF4701" w:rsidRDefault="005C1032" w:rsidP="003C67D9">
      <w:pPr>
        <w:pStyle w:val="BodyText"/>
        <w:rPr>
          <w:bCs/>
          <w:szCs w:val="24"/>
        </w:rPr>
      </w:pPr>
      <w:r w:rsidRPr="00EC0BFA">
        <w:rPr>
          <w:b/>
          <w:bCs/>
        </w:rPr>
        <w:t xml:space="preserve">(d) Price </w:t>
      </w:r>
      <w:r>
        <w:rPr>
          <w:b/>
          <w:bCs/>
        </w:rPr>
        <w:t>a</w:t>
      </w:r>
      <w:r w:rsidRPr="00EC0BFA">
        <w:rPr>
          <w:b/>
          <w:bCs/>
        </w:rPr>
        <w:t xml:space="preserve">djustment </w:t>
      </w:r>
      <w:r>
        <w:rPr>
          <w:b/>
          <w:bCs/>
        </w:rPr>
        <w:t>c</w:t>
      </w:r>
      <w:r w:rsidRPr="00EC0BFA">
        <w:rPr>
          <w:b/>
          <w:bCs/>
        </w:rPr>
        <w:t>ompensation.</w:t>
      </w:r>
      <w:r w:rsidR="00D43CEF">
        <w:t xml:space="preserve"> Monthly adjustments will be accrued. The final price adjustment will be paid, or rebated, after completion of all work for eligible pay items. The Contractor may request in writing a partial price adjustment payment once every 12 months, or </w:t>
      </w:r>
      <w:r w:rsidR="00D43CEF">
        <w:lastRenderedPageBreak/>
        <w:t>when the unpaid accrued increase exceed $10,000. The Government will take a rebate when the deductive accrual exceeds $</w:t>
      </w:r>
      <w:r w:rsidR="00D43CEF" w:rsidRPr="00BF4701">
        <w:rPr>
          <w:bCs/>
          <w:szCs w:val="24"/>
        </w:rPr>
        <w:t>10,000.</w:t>
      </w:r>
    </w:p>
    <w:p w14:paraId="49F207C9" w14:textId="37393FFB" w:rsidR="00D43CEF" w:rsidRPr="00BF4701" w:rsidRDefault="00D43CEF" w:rsidP="003C67D9">
      <w:pPr>
        <w:pStyle w:val="BodyText"/>
        <w:rPr>
          <w:bCs/>
          <w:szCs w:val="24"/>
        </w:rPr>
      </w:pPr>
      <w:r w:rsidRPr="00BF4701">
        <w:rPr>
          <w:bCs/>
          <w:szCs w:val="24"/>
        </w:rPr>
        <w:t xml:space="preserve">No price adjustments will be made for work performed beyond the Government-approved </w:t>
      </w:r>
      <w:r w:rsidR="00D276F6">
        <w:rPr>
          <w:bCs/>
          <w:szCs w:val="24"/>
        </w:rPr>
        <w:t>c</w:t>
      </w:r>
      <w:r w:rsidR="00D276F6" w:rsidRPr="00BF4701">
        <w:rPr>
          <w:bCs/>
          <w:szCs w:val="24"/>
        </w:rPr>
        <w:t xml:space="preserve">ontract </w:t>
      </w:r>
      <w:r w:rsidRPr="00BF4701">
        <w:rPr>
          <w:bCs/>
          <w:szCs w:val="24"/>
        </w:rPr>
        <w:t>completion date.</w:t>
      </w:r>
    </w:p>
    <w:p w14:paraId="65217612" w14:textId="63E259F4" w:rsidR="00D43CEF" w:rsidRDefault="00D43CEF" w:rsidP="003C67D9">
      <w:pPr>
        <w:pStyle w:val="BodyText"/>
      </w:pPr>
      <w:r>
        <w:t>The maximum allowable monthly and final price adjustment to the Contractor or rebate to the Government is limited to a (MPPI/BPI) ratio of 1.6 and 0.4, respectively.</w:t>
      </w:r>
    </w:p>
    <w:p w14:paraId="1ED6B461" w14:textId="77777777" w:rsidR="00A23995" w:rsidRPr="00C06441" w:rsidRDefault="00A23995" w:rsidP="007F2CCC">
      <w:pPr>
        <w:pStyle w:val="PlainText"/>
        <w:pBdr>
          <w:top w:val="thinThickSmallGap" w:sz="12" w:space="1" w:color="FF0000"/>
          <w:left w:val="thinThickSmallGap" w:sz="12" w:space="4" w:color="FF0000"/>
          <w:bottom w:val="thickThinSmallGap" w:sz="12" w:space="1" w:color="FF0000"/>
          <w:right w:val="thickThinSmallGap" w:sz="12" w:space="4" w:color="FF0000"/>
        </w:pBdr>
        <w:spacing w:after="240"/>
        <w:rPr>
          <w:rFonts w:ascii="Times New Roman" w:eastAsia="MS Mincho" w:hAnsi="Times New Roman"/>
          <w:bCs/>
          <w:vanish/>
          <w:sz w:val="24"/>
          <w:szCs w:val="24"/>
        </w:rPr>
      </w:pPr>
      <w:r w:rsidRPr="00C06441">
        <w:rPr>
          <w:rFonts w:ascii="Times New Roman" w:eastAsia="MS Mincho" w:hAnsi="Times New Roman"/>
          <w:bCs/>
          <w:vanish/>
          <w:sz w:val="24"/>
          <w:szCs w:val="24"/>
        </w:rPr>
        <w:t>Use on all projects.</w:t>
      </w:r>
    </w:p>
    <w:p w14:paraId="66488DAB" w14:textId="126721D2" w:rsidR="00F72E79" w:rsidRPr="00CE2947" w:rsidRDefault="00F72E79" w:rsidP="00CD0B7B">
      <w:pPr>
        <w:pStyle w:val="BodyText"/>
        <w:rPr>
          <w:color w:val="000000"/>
        </w:rPr>
      </w:pPr>
      <w:r w:rsidRPr="003C67D9">
        <w:rPr>
          <w:b/>
          <w:bCs/>
        </w:rPr>
        <w:t>109.08(a) General.</w:t>
      </w:r>
      <w:r w:rsidRPr="00CE2947">
        <w:t xml:space="preserve"> </w:t>
      </w:r>
      <w:r w:rsidRPr="00CE2947">
        <w:rPr>
          <w:color w:val="000000"/>
          <w:u w:val="single"/>
        </w:rPr>
        <w:t xml:space="preserve">Delete the </w:t>
      </w:r>
      <w:r>
        <w:rPr>
          <w:color w:val="000000"/>
          <w:u w:val="single"/>
        </w:rPr>
        <w:t>last</w:t>
      </w:r>
      <w:r w:rsidRPr="00CE2947">
        <w:rPr>
          <w:color w:val="000000"/>
          <w:u w:val="single"/>
        </w:rPr>
        <w:t xml:space="preserve"> sentence and substitute the following</w:t>
      </w:r>
      <w:r w:rsidRPr="00CE2947">
        <w:rPr>
          <w:color w:val="000000"/>
        </w:rPr>
        <w:t>:</w:t>
      </w:r>
    </w:p>
    <w:p w14:paraId="086FD1FC" w14:textId="0C807170" w:rsidR="00F72E79" w:rsidRPr="006922C2" w:rsidRDefault="00F72E79" w:rsidP="003C67D9">
      <w:pPr>
        <w:pStyle w:val="BodyText"/>
        <w:ind w:left="360"/>
      </w:pPr>
      <w:r w:rsidRPr="006922C2">
        <w:t>The</w:t>
      </w:r>
      <w:r>
        <w:t xml:space="preserve"> CO may withhold partial progress payment according to Subsection 109.08(</w:t>
      </w:r>
      <w:r w:rsidR="008E5770">
        <w:t>h</w:t>
      </w:r>
      <w:r>
        <w:t>) for failure to make satisfactory progress until a construction schedule or schedule update is approved.</w:t>
      </w:r>
    </w:p>
    <w:p w14:paraId="22579E5A" w14:textId="0E7F2809" w:rsidR="00F72E79" w:rsidRPr="00CE2947" w:rsidRDefault="00CD0B7B" w:rsidP="00CD0B7B">
      <w:pPr>
        <w:pStyle w:val="BodyText"/>
        <w:rPr>
          <w:color w:val="000000"/>
        </w:rPr>
      </w:pPr>
      <w:r w:rsidRPr="003C67D9">
        <w:rPr>
          <w:b/>
          <w:bCs/>
        </w:rPr>
        <w:t>109.08</w:t>
      </w:r>
      <w:r w:rsidR="00F72E79" w:rsidRPr="003C67D9">
        <w:rPr>
          <w:b/>
          <w:bCs/>
        </w:rPr>
        <w:t>(</w:t>
      </w:r>
      <w:r w:rsidR="0057644B" w:rsidRPr="003C67D9">
        <w:rPr>
          <w:b/>
          <w:bCs/>
        </w:rPr>
        <w:t>c</w:t>
      </w:r>
      <w:r w:rsidR="00F72E79" w:rsidRPr="003C67D9">
        <w:rPr>
          <w:b/>
          <w:bCs/>
        </w:rPr>
        <w:t>) Government’s receiving report.</w:t>
      </w:r>
      <w:r w:rsidR="00F72E79" w:rsidRPr="00CE2947">
        <w:t xml:space="preserve"> </w:t>
      </w:r>
      <w:r w:rsidR="00F72E79" w:rsidRPr="00CE2947">
        <w:rPr>
          <w:color w:val="000000"/>
          <w:u w:val="single"/>
        </w:rPr>
        <w:t>Delete th</w:t>
      </w:r>
      <w:r w:rsidR="00683984">
        <w:rPr>
          <w:color w:val="000000"/>
          <w:u w:val="single"/>
        </w:rPr>
        <w:t>is</w:t>
      </w:r>
      <w:r w:rsidR="00F72E79" w:rsidRPr="00CE2947">
        <w:rPr>
          <w:color w:val="000000"/>
          <w:u w:val="single"/>
        </w:rPr>
        <w:t xml:space="preserve"> </w:t>
      </w:r>
      <w:r w:rsidR="00683984">
        <w:rPr>
          <w:color w:val="000000"/>
          <w:u w:val="single"/>
        </w:rPr>
        <w:t>Subsection</w:t>
      </w:r>
      <w:r w:rsidR="00F72E79" w:rsidRPr="00CE2947">
        <w:rPr>
          <w:color w:val="000000"/>
          <w:u w:val="single"/>
        </w:rPr>
        <w:t xml:space="preserve"> and substitute the following</w:t>
      </w:r>
      <w:r w:rsidR="00F72E79" w:rsidRPr="00CE2947">
        <w:rPr>
          <w:color w:val="000000"/>
        </w:rPr>
        <w:t>:</w:t>
      </w:r>
    </w:p>
    <w:p w14:paraId="1662AE4D" w14:textId="5BC4328A" w:rsidR="00F72E79" w:rsidRDefault="00F72E79" w:rsidP="003C67D9">
      <w:pPr>
        <w:pStyle w:val="BodyText"/>
        <w:ind w:left="360"/>
        <w:rPr>
          <w:color w:val="000000"/>
        </w:rPr>
      </w:pPr>
      <w:r w:rsidRPr="00CE2947">
        <w:rPr>
          <w:color w:val="000000"/>
        </w:rPr>
        <w:t>The Government’s receiving report will be developed using the measurements and quantities from Pay Notes received by the CO in EEBACS and determined acceptable.</w:t>
      </w:r>
    </w:p>
    <w:p w14:paraId="10D3B92B" w14:textId="050CF2B2" w:rsidR="00B46A11" w:rsidRDefault="00CD0B7B" w:rsidP="00CD0B7B">
      <w:pPr>
        <w:pStyle w:val="BodyText"/>
        <w:rPr>
          <w:color w:val="000000"/>
        </w:rPr>
      </w:pPr>
      <w:r w:rsidRPr="003C67D9">
        <w:rPr>
          <w:b/>
          <w:bCs/>
        </w:rPr>
        <w:t>109.08</w:t>
      </w:r>
      <w:r w:rsidR="00B46A11" w:rsidRPr="00B46A11">
        <w:rPr>
          <w:b/>
          <w:bCs/>
          <w:color w:val="000000"/>
        </w:rPr>
        <w:t>(d) Closing date and invoice submittal date</w:t>
      </w:r>
      <w:r w:rsidR="00B46A11">
        <w:rPr>
          <w:b/>
          <w:bCs/>
          <w:color w:val="000000"/>
        </w:rPr>
        <w:t xml:space="preserve">. </w:t>
      </w:r>
      <w:r w:rsidR="00B46A11">
        <w:rPr>
          <w:color w:val="000000"/>
          <w:u w:val="single"/>
        </w:rPr>
        <w:t>Add the following</w:t>
      </w:r>
      <w:r w:rsidR="00B46A11">
        <w:rPr>
          <w:color w:val="000000"/>
        </w:rPr>
        <w:t>:</w:t>
      </w:r>
    </w:p>
    <w:p w14:paraId="7F675FBF" w14:textId="3D1CF7D1" w:rsidR="00B46A11" w:rsidRDefault="00215AD0" w:rsidP="003C67D9">
      <w:pPr>
        <w:pStyle w:val="BodyText"/>
        <w:ind w:left="360"/>
        <w:rPr>
          <w:color w:val="000000"/>
        </w:rPr>
      </w:pPr>
      <w:r>
        <w:rPr>
          <w:color w:val="000000"/>
        </w:rPr>
        <w:t>No closing dates will be permitted</w:t>
      </w:r>
      <w:r w:rsidR="00B46A11">
        <w:rPr>
          <w:color w:val="000000"/>
        </w:rPr>
        <w:t xml:space="preserve"> from September </w:t>
      </w:r>
      <w:r>
        <w:rPr>
          <w:color w:val="000000"/>
        </w:rPr>
        <w:t>1</w:t>
      </w:r>
      <w:r w:rsidR="00B46A11">
        <w:rPr>
          <w:color w:val="000000"/>
        </w:rPr>
        <w:t xml:space="preserve"> to </w:t>
      </w:r>
      <w:r>
        <w:rPr>
          <w:color w:val="000000"/>
        </w:rPr>
        <w:t>Octo</w:t>
      </w:r>
      <w:r w:rsidR="00B46A11">
        <w:rPr>
          <w:color w:val="000000"/>
        </w:rPr>
        <w:t xml:space="preserve">ber </w:t>
      </w:r>
      <w:r>
        <w:rPr>
          <w:color w:val="000000"/>
        </w:rPr>
        <w:t>5. Do not submit invoices between September 1 and October 5.</w:t>
      </w:r>
    </w:p>
    <w:p w14:paraId="4D802237" w14:textId="15401830" w:rsidR="00F72E79" w:rsidRPr="007F2CCC" w:rsidRDefault="00CD0B7B" w:rsidP="00CD0B7B">
      <w:pPr>
        <w:pStyle w:val="BodyText"/>
      </w:pPr>
      <w:r w:rsidRPr="003C67D9">
        <w:rPr>
          <w:b/>
          <w:bCs/>
        </w:rPr>
        <w:t>109.08</w:t>
      </w:r>
      <w:r w:rsidR="00F72E79" w:rsidRPr="003C67D9">
        <w:rPr>
          <w:b/>
          <w:bCs/>
        </w:rPr>
        <w:t>(e)</w:t>
      </w:r>
      <w:r w:rsidR="00F72E79">
        <w:rPr>
          <w:b/>
          <w:bCs/>
        </w:rPr>
        <w:t>(1) Proper invoices.</w:t>
      </w:r>
      <w:r w:rsidR="00F72E79">
        <w:t xml:space="preserve"> </w:t>
      </w:r>
      <w:r w:rsidR="00F72E79" w:rsidRPr="003C67D9">
        <w:rPr>
          <w:u w:val="single"/>
        </w:rPr>
        <w:t xml:space="preserve">Delete </w:t>
      </w:r>
      <w:r w:rsidR="00683984">
        <w:rPr>
          <w:u w:val="single"/>
        </w:rPr>
        <w:t>this Subsection</w:t>
      </w:r>
      <w:r w:rsidR="00F72E79" w:rsidRPr="003C67D9">
        <w:rPr>
          <w:u w:val="single"/>
        </w:rPr>
        <w:t xml:space="preserve"> and substitute the following</w:t>
      </w:r>
      <w:r w:rsidR="00B46A11">
        <w:t>:</w:t>
      </w:r>
    </w:p>
    <w:p w14:paraId="47AD6BC0" w14:textId="77777777" w:rsidR="00F72E79" w:rsidRDefault="00F72E79" w:rsidP="007F2CCC">
      <w:pPr>
        <w:pStyle w:val="BodyText"/>
        <w:ind w:left="720"/>
        <w:rPr>
          <w:b/>
          <w:bCs/>
        </w:rPr>
      </w:pPr>
      <w:r>
        <w:rPr>
          <w:b/>
          <w:bCs/>
        </w:rPr>
        <w:t>(1) Invoices received by the 7</w:t>
      </w:r>
      <w:r w:rsidRPr="007F2CCC">
        <w:rPr>
          <w:b/>
          <w:bCs/>
          <w:vertAlign w:val="superscript"/>
        </w:rPr>
        <w:t>th</w:t>
      </w:r>
      <w:r>
        <w:rPr>
          <w:b/>
          <w:bCs/>
        </w:rPr>
        <w:t xml:space="preserve"> day following the closing date.</w:t>
      </w:r>
    </w:p>
    <w:p w14:paraId="630B816F" w14:textId="740A1DD4" w:rsidR="00F72E79" w:rsidRDefault="00F72E79" w:rsidP="007F2CCC">
      <w:pPr>
        <w:pStyle w:val="BodyText"/>
        <w:ind w:left="1080"/>
      </w:pPr>
      <w:r>
        <w:rPr>
          <w:i/>
          <w:iCs/>
        </w:rPr>
        <w:t>(a) Proper invoices.</w:t>
      </w:r>
      <w:r>
        <w:t xml:space="preserve"> If the invoice meets the requirements of Subsection 109.08(</w:t>
      </w:r>
      <w:r w:rsidR="008E5770">
        <w:t>b</w:t>
      </w:r>
      <w:r>
        <w:t>), and the quantities and unit prices shown on the Contractor's invoice agree with the corresponding quantities and unit prices shown on the Government's receiving report, the invoice will be paid.</w:t>
      </w:r>
    </w:p>
    <w:p w14:paraId="4B71739D" w14:textId="6418AFF4" w:rsidR="00F72E79" w:rsidRDefault="00F72E79" w:rsidP="007F2CCC">
      <w:pPr>
        <w:pStyle w:val="BodyText"/>
        <w:ind w:left="1080"/>
      </w:pPr>
      <w:r>
        <w:rPr>
          <w:i/>
          <w:iCs/>
        </w:rPr>
        <w:t>(b) Defective invoices.</w:t>
      </w:r>
      <w:r>
        <w:t xml:space="preserve"> If the invoice does not meet the requirements of Subsection 109.08(</w:t>
      </w:r>
      <w:r w:rsidR="008E5770">
        <w:t>b</w:t>
      </w:r>
      <w:r>
        <w:t xml:space="preserve">), or if any of the quantities or unit prices shown on the Contractor's invoice exceed the corresponding quantities and unit prices shown on the Government's receiving report, the invoice will be deemed </w:t>
      </w:r>
      <w:r w:rsidR="00820434">
        <w:t>defective,</w:t>
      </w:r>
      <w:r>
        <w:t xml:space="preserve"> and the Contractor so notified according to FAR Clause 52.232-27(a)(2). Defective invoices will not be corrected by the Government and will be returned to the Contractor within 7 days after the Government's designated billing office receives the invoice.</w:t>
      </w:r>
    </w:p>
    <w:p w14:paraId="5A6D2447" w14:textId="62B5249A" w:rsidR="00F72E79" w:rsidRDefault="00F72E79" w:rsidP="007F2CCC">
      <w:pPr>
        <w:pStyle w:val="BodyText"/>
        <w:ind w:left="720"/>
      </w:pPr>
      <w:r>
        <w:t>Revise and resubmit returned invoices by the 18</w:t>
      </w:r>
      <w:r w:rsidRPr="007F2CCC">
        <w:rPr>
          <w:vertAlign w:val="superscript"/>
        </w:rPr>
        <w:t>th</w:t>
      </w:r>
      <w:r>
        <w:t xml:space="preserve"> day following the closing date. The CO will evaluate the revised invoice.</w:t>
      </w:r>
      <w:r w:rsidR="00F17C8A">
        <w:t xml:space="preserve"> If the invoice is deemed </w:t>
      </w:r>
      <w:r w:rsidR="00820434">
        <w:t>proper,</w:t>
      </w:r>
      <w:r w:rsidR="00F17C8A">
        <w:t xml:space="preserve"> it will be forwarded for processing within 7 days of receipt.</w:t>
      </w:r>
      <w:r>
        <w:t xml:space="preserve"> If the invoice still does not meet the requirements of Subsection 109.08(</w:t>
      </w:r>
      <w:r w:rsidR="008E5770">
        <w:t>b</w:t>
      </w:r>
      <w:r>
        <w:t>), the Contractor will be so notified according to FAR Clause 52.232-</w:t>
      </w:r>
      <w:r>
        <w:lastRenderedPageBreak/>
        <w:t>27(a)(2), and no progress payment will be made that month. Correct the deficiencies and resubmit the invoice the following month.</w:t>
      </w:r>
    </w:p>
    <w:p w14:paraId="28159442" w14:textId="6C27E30B" w:rsidR="00F72E79" w:rsidRDefault="00F72E79" w:rsidP="007F2CCC">
      <w:pPr>
        <w:pStyle w:val="BodyText"/>
        <w:ind w:left="720"/>
      </w:pPr>
      <w:r>
        <w:t>If the revised invoice meets the requirements of Subsection 109.08(</w:t>
      </w:r>
      <w:r w:rsidR="008E5770">
        <w:t>b</w:t>
      </w:r>
      <w:r>
        <w:t>), but still ha</w:t>
      </w:r>
      <w:r w:rsidR="00F17C8A">
        <w:t>s</w:t>
      </w:r>
      <w:r>
        <w:t xml:space="preserve"> quantities or unit prices exceeding the corresponding quantities and unit prices shown on the Government's receiving report, the Government's data for that item or work will be used. The Contractor's invoice, as revised by the Government's receiving report, will be forwarded for processing by the 23</w:t>
      </w:r>
      <w:r w:rsidRPr="007F2CCC">
        <w:rPr>
          <w:vertAlign w:val="superscript"/>
        </w:rPr>
        <w:t>rd</w:t>
      </w:r>
      <w:r>
        <w:t xml:space="preserve"> day following the closing date. The Contractor will be notified by the 23</w:t>
      </w:r>
      <w:r w:rsidRPr="007F2CCC">
        <w:rPr>
          <w:vertAlign w:val="superscript"/>
        </w:rPr>
        <w:t>rd</w:t>
      </w:r>
      <w:r>
        <w:t xml:space="preserve"> day following the closing date of the reasons for any changes to the invoice.</w:t>
      </w:r>
    </w:p>
    <w:p w14:paraId="5EE560FF" w14:textId="2ABCF419" w:rsidR="00F72E79" w:rsidRDefault="00CD0B7B" w:rsidP="00CD0B7B">
      <w:pPr>
        <w:pStyle w:val="BodyText"/>
      </w:pPr>
      <w:r w:rsidRPr="003C67D9">
        <w:rPr>
          <w:b/>
          <w:bCs/>
        </w:rPr>
        <w:t>109.08(e)</w:t>
      </w:r>
      <w:r w:rsidR="00F72E79">
        <w:rPr>
          <w:b/>
          <w:bCs/>
        </w:rPr>
        <w:t xml:space="preserve">(2) Defective invoices. </w:t>
      </w:r>
      <w:r w:rsidR="00F72E79" w:rsidRPr="003C67D9">
        <w:rPr>
          <w:u w:val="single"/>
        </w:rPr>
        <w:t xml:space="preserve">Delete </w:t>
      </w:r>
      <w:r w:rsidR="00F8713C" w:rsidRPr="003C67D9">
        <w:rPr>
          <w:u w:val="single"/>
        </w:rPr>
        <w:t>th</w:t>
      </w:r>
      <w:r w:rsidR="00F8713C">
        <w:rPr>
          <w:u w:val="single"/>
        </w:rPr>
        <w:t>is</w:t>
      </w:r>
      <w:r w:rsidR="00F8713C" w:rsidRPr="003C67D9">
        <w:rPr>
          <w:u w:val="single"/>
        </w:rPr>
        <w:t xml:space="preserve"> </w:t>
      </w:r>
      <w:r w:rsidR="00F8713C">
        <w:rPr>
          <w:u w:val="single"/>
        </w:rPr>
        <w:t>S</w:t>
      </w:r>
      <w:r w:rsidR="00F8713C" w:rsidRPr="003C67D9">
        <w:rPr>
          <w:u w:val="single"/>
        </w:rPr>
        <w:t xml:space="preserve">ubsection </w:t>
      </w:r>
      <w:r w:rsidR="00F8713C">
        <w:rPr>
          <w:u w:val="single"/>
        </w:rPr>
        <w:t xml:space="preserve">and </w:t>
      </w:r>
      <w:r w:rsidR="00F72E79" w:rsidRPr="003C67D9">
        <w:rPr>
          <w:u w:val="single"/>
        </w:rPr>
        <w:t>substitute the following:</w:t>
      </w:r>
    </w:p>
    <w:p w14:paraId="20C6F93F" w14:textId="77777777" w:rsidR="00F72E79" w:rsidRDefault="00F72E79" w:rsidP="007F2CCC">
      <w:pPr>
        <w:pStyle w:val="BodyText"/>
        <w:ind w:left="720"/>
        <w:rPr>
          <w:b/>
          <w:bCs/>
        </w:rPr>
      </w:pPr>
      <w:r>
        <w:rPr>
          <w:b/>
          <w:bCs/>
        </w:rPr>
        <w:t>(2) Invoices received between the 8</w:t>
      </w:r>
      <w:r w:rsidRPr="007F2CCC">
        <w:rPr>
          <w:b/>
          <w:bCs/>
          <w:vertAlign w:val="superscript"/>
        </w:rPr>
        <w:t>th</w:t>
      </w:r>
      <w:r>
        <w:rPr>
          <w:b/>
          <w:bCs/>
        </w:rPr>
        <w:t xml:space="preserve"> and 16</w:t>
      </w:r>
      <w:r w:rsidRPr="007F2CCC">
        <w:rPr>
          <w:b/>
          <w:bCs/>
          <w:vertAlign w:val="superscript"/>
        </w:rPr>
        <w:t>th</w:t>
      </w:r>
      <w:r>
        <w:rPr>
          <w:b/>
          <w:bCs/>
        </w:rPr>
        <w:t xml:space="preserve"> day following the closing date.</w:t>
      </w:r>
    </w:p>
    <w:p w14:paraId="0C549ADD" w14:textId="513DFEB4" w:rsidR="00F72E79" w:rsidRDefault="00F72E79" w:rsidP="007F2CCC">
      <w:pPr>
        <w:pStyle w:val="BodyText"/>
        <w:ind w:left="1080"/>
      </w:pPr>
      <w:r>
        <w:rPr>
          <w:i/>
          <w:iCs/>
        </w:rPr>
        <w:t>(a) Proper invoices.</w:t>
      </w:r>
      <w:r>
        <w:t xml:space="preserve"> If the invoice meets the requirements of Subsection 109.08(</w:t>
      </w:r>
      <w:r w:rsidR="008E5770">
        <w:t>b</w:t>
      </w:r>
      <w:r>
        <w:t>), and the quantities and unit prices shown on the Contractor's invoice agree with the corresponding quantities and unit prices shown on the CO's receiving report, the invoice will be deemed proper and forwarded for processing within 7 days of receipt.</w:t>
      </w:r>
    </w:p>
    <w:p w14:paraId="24C5D3DF" w14:textId="526113D6" w:rsidR="00F72E79" w:rsidRDefault="00F72E79" w:rsidP="007F2CCC">
      <w:pPr>
        <w:pStyle w:val="BodyText"/>
        <w:ind w:left="1080"/>
      </w:pPr>
      <w:r>
        <w:rPr>
          <w:i/>
          <w:iCs/>
        </w:rPr>
        <w:t>(b) Defective invoices.</w:t>
      </w:r>
      <w:r>
        <w:t xml:space="preserve"> If the invoice does not meet the requirements of Subsection 109.08(</w:t>
      </w:r>
      <w:r w:rsidR="008E5770">
        <w:t>b</w:t>
      </w:r>
      <w:r>
        <w:t>), the invoice will be deemed defective, the Contractor so notified according to FAR Clause 52.232-27(a)(2), and no progress payment will be made that month. Correct the deficiencies and resubmit the invoice the following month.</w:t>
      </w:r>
    </w:p>
    <w:p w14:paraId="545DE5B5" w14:textId="5C0F02C8" w:rsidR="00F72E79" w:rsidRDefault="00F72E79" w:rsidP="007F2CCC">
      <w:pPr>
        <w:pStyle w:val="BodyText"/>
        <w:ind w:left="720"/>
      </w:pPr>
      <w:r>
        <w:t xml:space="preserve">If the invoice meets the requirements of Subsection </w:t>
      </w:r>
      <w:r w:rsidR="00820434">
        <w:t>109.08(b) but</w:t>
      </w:r>
      <w:r>
        <w:t xml:space="preserve"> has quantities or unit prices exceeding the corresponding quantities and unit prices shown on the Government's receiving report, the Government's data for that item of work will be used. The Contractor's invoice, as revised by the Government's receiving report, will be forwarded for processing within 7 days of the Government's receipt of the invoice. The Contractor will be notified of the reasons for any changes to the invoice.</w:t>
      </w:r>
    </w:p>
    <w:p w14:paraId="31422679" w14:textId="4FF85F9F" w:rsidR="00F72E79" w:rsidRPr="002C2BC0" w:rsidRDefault="00CD0B7B" w:rsidP="00CD0B7B">
      <w:pPr>
        <w:pStyle w:val="BodyText"/>
      </w:pPr>
      <w:r w:rsidRPr="003C67D9">
        <w:rPr>
          <w:b/>
          <w:bCs/>
        </w:rPr>
        <w:t>109.08</w:t>
      </w:r>
      <w:r w:rsidR="00F72E79" w:rsidRPr="002C2BC0">
        <w:rPr>
          <w:b/>
          <w:bCs/>
        </w:rPr>
        <w:t>(f) Partial payments.</w:t>
      </w:r>
      <w:r w:rsidR="00F72E79" w:rsidRPr="002C2BC0">
        <w:t xml:space="preserve"> </w:t>
      </w:r>
      <w:r w:rsidR="00F72E79" w:rsidRPr="003C67D9">
        <w:rPr>
          <w:u w:val="single"/>
        </w:rPr>
        <w:t>Delete th</w:t>
      </w:r>
      <w:r w:rsidR="00F8713C">
        <w:rPr>
          <w:u w:val="single"/>
        </w:rPr>
        <w:t>is</w:t>
      </w:r>
      <w:r w:rsidR="00F72E79" w:rsidRPr="003C67D9">
        <w:rPr>
          <w:u w:val="single"/>
        </w:rPr>
        <w:t xml:space="preserve"> </w:t>
      </w:r>
      <w:r w:rsidR="00F8713C">
        <w:rPr>
          <w:u w:val="single"/>
        </w:rPr>
        <w:t>S</w:t>
      </w:r>
      <w:r w:rsidR="00F72E79" w:rsidRPr="003C67D9">
        <w:rPr>
          <w:u w:val="single"/>
        </w:rPr>
        <w:t>ubsection and substitute the following:</w:t>
      </w:r>
    </w:p>
    <w:p w14:paraId="51CAC201" w14:textId="11C000AE" w:rsidR="00F72E79" w:rsidRPr="002C2BC0" w:rsidRDefault="00F72E79" w:rsidP="003C67D9">
      <w:pPr>
        <w:pStyle w:val="BodyText"/>
        <w:ind w:left="360"/>
      </w:pPr>
      <w:r w:rsidRPr="002C2BC0">
        <w:rPr>
          <w:b/>
          <w:bCs/>
        </w:rPr>
        <w:t xml:space="preserve">(f) Partial payments. </w:t>
      </w:r>
      <w:r w:rsidRPr="002C2BC0">
        <w:t>Progress payments may include partial payment for material to be incorporated in the work according to FAR Clause 52.232-5(b)(2), provided the material meets the requirements of the contract and is delivered on, or in the vicinity of, the project site or stored in acceptable storage places.</w:t>
      </w:r>
    </w:p>
    <w:p w14:paraId="6A81763B" w14:textId="24A0B1B3" w:rsidR="00F72E79" w:rsidRPr="002C2BC0" w:rsidRDefault="00F72E79" w:rsidP="003C67D9">
      <w:pPr>
        <w:pStyle w:val="BodyText"/>
        <w:ind w:left="360"/>
        <w:rPr>
          <w:szCs w:val="24"/>
        </w:rPr>
      </w:pPr>
      <w:r w:rsidRPr="002C2BC0">
        <w:rPr>
          <w:szCs w:val="24"/>
        </w:rPr>
        <w:t>Partial payments for stockpiled manufactured material (aggregates) will be based on Contractor process control test results. If test results show the material to be out-of-specification, or in “reject” where statistical evaluation procedures are used, no payment for stockpiled materials will be made.</w:t>
      </w:r>
    </w:p>
    <w:p w14:paraId="03A1956C" w14:textId="43CDD7C6" w:rsidR="00F72E79" w:rsidRPr="00BF4701" w:rsidRDefault="00F72E79" w:rsidP="003C67D9">
      <w:pPr>
        <w:pStyle w:val="BodyText"/>
        <w:ind w:left="360"/>
        <w:rPr>
          <w:szCs w:val="24"/>
        </w:rPr>
      </w:pPr>
      <w:r w:rsidRPr="00BF4701">
        <w:rPr>
          <w:szCs w:val="24"/>
        </w:rPr>
        <w:t>Partial payment for material does not constitute acceptance of such material for use in completing items of work. Partial payments will not be made for living or perishable material until incorporated into the project.</w:t>
      </w:r>
    </w:p>
    <w:p w14:paraId="68EDF77F" w14:textId="77777777" w:rsidR="00F72E79" w:rsidRPr="002C2BC0" w:rsidRDefault="00F72E79" w:rsidP="003C67D9">
      <w:pPr>
        <w:pStyle w:val="BodyText"/>
        <w:ind w:left="360"/>
        <w:rPr>
          <w:szCs w:val="24"/>
        </w:rPr>
      </w:pPr>
      <w:r w:rsidRPr="002C2BC0">
        <w:rPr>
          <w:szCs w:val="24"/>
        </w:rPr>
        <w:lastRenderedPageBreak/>
        <w:t>Individual and cumulative partial payments for preparatory work and material will not exceed the lesser of:</w:t>
      </w:r>
    </w:p>
    <w:p w14:paraId="0C3CA3DF" w14:textId="77777777" w:rsidR="00F72E79" w:rsidRPr="002C2BC0" w:rsidRDefault="00F72E79" w:rsidP="003C67D9">
      <w:pPr>
        <w:pStyle w:val="BodyText"/>
        <w:ind w:left="720"/>
        <w:rPr>
          <w:szCs w:val="24"/>
        </w:rPr>
      </w:pPr>
      <w:r w:rsidRPr="002C2BC0">
        <w:rPr>
          <w:b/>
          <w:bCs/>
          <w:szCs w:val="24"/>
        </w:rPr>
        <w:t xml:space="preserve">(1) </w:t>
      </w:r>
      <w:r w:rsidRPr="002C2BC0">
        <w:rPr>
          <w:szCs w:val="24"/>
        </w:rPr>
        <w:t>80 percent of the contract bid price for the item; or</w:t>
      </w:r>
    </w:p>
    <w:p w14:paraId="0D676899" w14:textId="77777777" w:rsidR="00F72E79" w:rsidRPr="002C2BC0" w:rsidRDefault="00F72E79" w:rsidP="003C67D9">
      <w:pPr>
        <w:pStyle w:val="BodyText"/>
        <w:ind w:left="720"/>
        <w:rPr>
          <w:szCs w:val="24"/>
        </w:rPr>
      </w:pPr>
      <w:r w:rsidRPr="002C2BC0">
        <w:rPr>
          <w:b/>
          <w:bCs/>
          <w:szCs w:val="24"/>
        </w:rPr>
        <w:t xml:space="preserve">(2) </w:t>
      </w:r>
      <w:r w:rsidRPr="002C2BC0">
        <w:rPr>
          <w:szCs w:val="24"/>
        </w:rPr>
        <w:t>100 percent of amount supported by copies of invoices submitted.</w:t>
      </w:r>
    </w:p>
    <w:p w14:paraId="650F8DE0" w14:textId="08D55635" w:rsidR="001E0CF5" w:rsidRPr="00F72E79" w:rsidRDefault="00F72E79" w:rsidP="00277316">
      <w:pPr>
        <w:pStyle w:val="BodyText"/>
        <w:ind w:left="360"/>
        <w:rPr>
          <w:szCs w:val="24"/>
        </w:rPr>
      </w:pPr>
      <w:r w:rsidRPr="002C2BC0">
        <w:rPr>
          <w:szCs w:val="24"/>
        </w:rPr>
        <w:t xml:space="preserve">The quantity paid will not exceed the corresponding quantity estimated in the contract. The CO may adjust partial payments as necessary to </w:t>
      </w:r>
      <w:r>
        <w:rPr>
          <w:szCs w:val="24"/>
        </w:rPr>
        <w:t xml:space="preserve">protect </w:t>
      </w:r>
      <w:r w:rsidRPr="002C2BC0">
        <w:rPr>
          <w:szCs w:val="24"/>
        </w:rPr>
        <w:t>the Government.</w:t>
      </w:r>
    </w:p>
    <w:sectPr w:rsidR="001E0CF5" w:rsidRPr="00F72E79" w:rsidSect="00D43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4F9B"/>
    <w:multiLevelType w:val="hybridMultilevel"/>
    <w:tmpl w:val="4C8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733DF"/>
    <w:multiLevelType w:val="hybridMultilevel"/>
    <w:tmpl w:val="5A9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970E7E"/>
    <w:multiLevelType w:val="hybridMultilevel"/>
    <w:tmpl w:val="33300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865CE"/>
    <w:multiLevelType w:val="hybridMultilevel"/>
    <w:tmpl w:val="EE9C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322395"/>
    <w:multiLevelType w:val="hybridMultilevel"/>
    <w:tmpl w:val="AF1898A0"/>
    <w:lvl w:ilvl="0" w:tplc="9322FC40">
      <w:start w:val="1"/>
      <w:numFmt w:val="lowerLetter"/>
      <w:lvlText w:val="(%1)"/>
      <w:lvlJc w:val="left"/>
      <w:pPr>
        <w:ind w:left="360" w:firstLine="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8572867">
    <w:abstractNumId w:val="6"/>
  </w:num>
  <w:num w:numId="2" w16cid:durableId="135034356">
    <w:abstractNumId w:val="7"/>
  </w:num>
  <w:num w:numId="3" w16cid:durableId="2038461839">
    <w:abstractNumId w:val="3"/>
  </w:num>
  <w:num w:numId="4" w16cid:durableId="84154522">
    <w:abstractNumId w:val="2"/>
  </w:num>
  <w:num w:numId="5" w16cid:durableId="277873898">
    <w:abstractNumId w:val="4"/>
  </w:num>
  <w:num w:numId="6" w16cid:durableId="472187013">
    <w:abstractNumId w:val="1"/>
  </w:num>
  <w:num w:numId="7" w16cid:durableId="2092697067">
    <w:abstractNumId w:val="5"/>
  </w:num>
  <w:num w:numId="8" w16cid:durableId="1832483629">
    <w:abstractNumId w:val="0"/>
  </w:num>
  <w:num w:numId="9" w16cid:durableId="1783184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07C3A"/>
    <w:rsid w:val="000434CC"/>
    <w:rsid w:val="00054A94"/>
    <w:rsid w:val="00056E3A"/>
    <w:rsid w:val="000E5208"/>
    <w:rsid w:val="00153267"/>
    <w:rsid w:val="0015658B"/>
    <w:rsid w:val="001C3CDB"/>
    <w:rsid w:val="001C7C18"/>
    <w:rsid w:val="001E0CF5"/>
    <w:rsid w:val="00215AD0"/>
    <w:rsid w:val="00215BCE"/>
    <w:rsid w:val="00245838"/>
    <w:rsid w:val="00246DBB"/>
    <w:rsid w:val="00277316"/>
    <w:rsid w:val="002A4E42"/>
    <w:rsid w:val="002C677B"/>
    <w:rsid w:val="00306752"/>
    <w:rsid w:val="00376A2D"/>
    <w:rsid w:val="00386F0C"/>
    <w:rsid w:val="00397A47"/>
    <w:rsid w:val="003C67D9"/>
    <w:rsid w:val="00436402"/>
    <w:rsid w:val="00444565"/>
    <w:rsid w:val="0049264F"/>
    <w:rsid w:val="004D3274"/>
    <w:rsid w:val="00522167"/>
    <w:rsid w:val="005335C4"/>
    <w:rsid w:val="005460F3"/>
    <w:rsid w:val="005624F3"/>
    <w:rsid w:val="00563FEA"/>
    <w:rsid w:val="00570E86"/>
    <w:rsid w:val="0057644B"/>
    <w:rsid w:val="0058444D"/>
    <w:rsid w:val="005C1032"/>
    <w:rsid w:val="006672F9"/>
    <w:rsid w:val="00683984"/>
    <w:rsid w:val="006A5916"/>
    <w:rsid w:val="007360F6"/>
    <w:rsid w:val="00773418"/>
    <w:rsid w:val="007B6E60"/>
    <w:rsid w:val="007F2CCC"/>
    <w:rsid w:val="007F30DA"/>
    <w:rsid w:val="008008E4"/>
    <w:rsid w:val="00820434"/>
    <w:rsid w:val="008255A8"/>
    <w:rsid w:val="008832CB"/>
    <w:rsid w:val="00890739"/>
    <w:rsid w:val="008971C4"/>
    <w:rsid w:val="008A20CE"/>
    <w:rsid w:val="008C3BA6"/>
    <w:rsid w:val="008D40C1"/>
    <w:rsid w:val="008E5770"/>
    <w:rsid w:val="00912309"/>
    <w:rsid w:val="0093501F"/>
    <w:rsid w:val="00985A03"/>
    <w:rsid w:val="009D3619"/>
    <w:rsid w:val="009E27E8"/>
    <w:rsid w:val="009E48A8"/>
    <w:rsid w:val="009F3C7D"/>
    <w:rsid w:val="00A23995"/>
    <w:rsid w:val="00A5259E"/>
    <w:rsid w:val="00A65C0E"/>
    <w:rsid w:val="00AC1421"/>
    <w:rsid w:val="00B02A8E"/>
    <w:rsid w:val="00B076CE"/>
    <w:rsid w:val="00B1153D"/>
    <w:rsid w:val="00B27A24"/>
    <w:rsid w:val="00B3080C"/>
    <w:rsid w:val="00B42ACE"/>
    <w:rsid w:val="00B46A11"/>
    <w:rsid w:val="00B5145F"/>
    <w:rsid w:val="00B63E98"/>
    <w:rsid w:val="00BF2A15"/>
    <w:rsid w:val="00C06441"/>
    <w:rsid w:val="00C13608"/>
    <w:rsid w:val="00C565A2"/>
    <w:rsid w:val="00C74E2E"/>
    <w:rsid w:val="00CA2921"/>
    <w:rsid w:val="00CD0B7B"/>
    <w:rsid w:val="00CF1B2A"/>
    <w:rsid w:val="00CF44E6"/>
    <w:rsid w:val="00D0354E"/>
    <w:rsid w:val="00D111E0"/>
    <w:rsid w:val="00D276F6"/>
    <w:rsid w:val="00D43CEF"/>
    <w:rsid w:val="00D454FB"/>
    <w:rsid w:val="00D50476"/>
    <w:rsid w:val="00D672F1"/>
    <w:rsid w:val="00D70904"/>
    <w:rsid w:val="00DA4203"/>
    <w:rsid w:val="00DF2DAC"/>
    <w:rsid w:val="00E03BAC"/>
    <w:rsid w:val="00E96359"/>
    <w:rsid w:val="00EC4420"/>
    <w:rsid w:val="00EE1DDA"/>
    <w:rsid w:val="00EF6D02"/>
    <w:rsid w:val="00F0041E"/>
    <w:rsid w:val="00F11611"/>
    <w:rsid w:val="00F17C8A"/>
    <w:rsid w:val="00F71581"/>
    <w:rsid w:val="00F72E79"/>
    <w:rsid w:val="00F76C2D"/>
    <w:rsid w:val="00F8713C"/>
    <w:rsid w:val="00FD1321"/>
    <w:rsid w:val="00FE0550"/>
    <w:rsid w:val="00FF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rsid w:val="00D43CE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43CEF"/>
    <w:rPr>
      <w:rFonts w:ascii="Courier New" w:eastAsia="Times New Roman" w:hAnsi="Courier New" w:cs="Times New Roman"/>
      <w:sz w:val="20"/>
      <w:szCs w:val="20"/>
    </w:rPr>
  </w:style>
  <w:style w:type="paragraph" w:customStyle="1" w:styleId="Subsection">
    <w:name w:val="Subsection"/>
    <w:basedOn w:val="Normal"/>
    <w:rsid w:val="00D43CEF"/>
    <w:pPr>
      <w:spacing w:after="240" w:line="240" w:lineRule="auto"/>
      <w:jc w:val="both"/>
    </w:pPr>
    <w:rPr>
      <w:rFonts w:ascii="Times New Roman" w:eastAsia="Times New Roman" w:hAnsi="Times New Roman" w:cs="Times New Roman"/>
      <w:sz w:val="24"/>
      <w:szCs w:val="24"/>
    </w:rPr>
  </w:style>
  <w:style w:type="character" w:styleId="Hyperlink">
    <w:name w:val="Hyperlink"/>
    <w:rsid w:val="00D43CEF"/>
    <w:rPr>
      <w:color w:val="0000FF"/>
      <w:u w:val="single"/>
    </w:rPr>
  </w:style>
  <w:style w:type="character" w:styleId="FollowedHyperlink">
    <w:name w:val="FollowedHyperlink"/>
    <w:basedOn w:val="DefaultParagraphFont"/>
    <w:uiPriority w:val="99"/>
    <w:semiHidden/>
    <w:unhideWhenUsed/>
    <w:rsid w:val="00D43CEF"/>
    <w:rPr>
      <w:color w:val="954F72" w:themeColor="followedHyperlink"/>
      <w:u w:val="single"/>
    </w:rPr>
  </w:style>
  <w:style w:type="paragraph" w:customStyle="1" w:styleId="indentbodytext1">
    <w:name w:val="indent body text 1"/>
    <w:basedOn w:val="Normal"/>
    <w:rsid w:val="00F72E79"/>
    <w:pPr>
      <w:spacing w:after="200" w:line="240" w:lineRule="atLeast"/>
      <w:ind w:left="360"/>
      <w:jc w:val="both"/>
    </w:pPr>
    <w:rPr>
      <w:rFonts w:ascii="Times New Roman" w:eastAsia="Times New Roman" w:hAnsi="Times New Roman" w:cs="Times New Roman"/>
      <w:bCs/>
      <w:spacing w:val="-2"/>
      <w:sz w:val="20"/>
      <w:szCs w:val="20"/>
    </w:rPr>
  </w:style>
  <w:style w:type="paragraph" w:customStyle="1" w:styleId="indentbodytext2">
    <w:name w:val="indent body text 2"/>
    <w:basedOn w:val="Normal"/>
    <w:rsid w:val="00F72E79"/>
    <w:pPr>
      <w:widowControl w:val="0"/>
      <w:autoSpaceDE w:val="0"/>
      <w:autoSpaceDN w:val="0"/>
      <w:adjustRightInd w:val="0"/>
      <w:spacing w:after="120" w:line="240" w:lineRule="auto"/>
      <w:ind w:left="720"/>
      <w:jc w:val="both"/>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5658B"/>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5658B"/>
    <w:rPr>
      <w:rFonts w:ascii="Times New Roman" w:eastAsia="Times New Roman" w:hAnsi="Times New Roman" w:cs="Times New Roman"/>
      <w:b/>
      <w:bCs/>
      <w:sz w:val="20"/>
      <w:szCs w:val="20"/>
    </w:rPr>
  </w:style>
  <w:style w:type="paragraph" w:styleId="Revision">
    <w:name w:val="Revision"/>
    <w:hidden/>
    <w:uiPriority w:val="99"/>
    <w:semiHidden/>
    <w:rsid w:val="00B46A11"/>
    <w:pPr>
      <w:spacing w:after="0" w:line="240" w:lineRule="auto"/>
    </w:pPr>
  </w:style>
  <w:style w:type="paragraph" w:customStyle="1" w:styleId="Indent1">
    <w:name w:val="Indent 1"/>
    <w:basedOn w:val="BodyText"/>
    <w:qFormat/>
    <w:rsid w:val="007F30DA"/>
    <w:pPr>
      <w:tabs>
        <w:tab w:val="clear" w:pos="9900"/>
      </w:tabs>
      <w:spacing w:before="240" w:after="0"/>
      <w:ind w:left="360"/>
    </w:pPr>
    <w:rPr>
      <w:rFonts w:eastAsia="Times New Roman"/>
      <w:szCs w:val="24"/>
    </w:rPr>
  </w:style>
  <w:style w:type="paragraph" w:customStyle="1" w:styleId="Indent2">
    <w:name w:val="Indent 2"/>
    <w:basedOn w:val="BodyText"/>
    <w:qFormat/>
    <w:rsid w:val="007F30DA"/>
    <w:pPr>
      <w:tabs>
        <w:tab w:val="clear" w:pos="9900"/>
      </w:tabs>
      <w:spacing w:before="240" w:after="0"/>
      <w:ind w:left="720"/>
    </w:pPr>
    <w:rPr>
      <w:rFonts w:eastAsia="Times New Roman"/>
      <w:szCs w:val="24"/>
    </w:rPr>
  </w:style>
  <w:style w:type="paragraph" w:customStyle="1" w:styleId="Indent3">
    <w:name w:val="Indent 3"/>
    <w:basedOn w:val="BodyText"/>
    <w:qFormat/>
    <w:rsid w:val="007F30DA"/>
    <w:pPr>
      <w:tabs>
        <w:tab w:val="clear" w:pos="9900"/>
      </w:tabs>
      <w:spacing w:before="180" w:after="0"/>
      <w:ind w:left="1080"/>
    </w:pPr>
    <w:rPr>
      <w:rFonts w:eastAsia="Times New Roman"/>
      <w:szCs w:val="24"/>
    </w:rPr>
  </w:style>
  <w:style w:type="paragraph" w:customStyle="1" w:styleId="Indent4">
    <w:name w:val="Indent 4"/>
    <w:basedOn w:val="BodyText"/>
    <w:qFormat/>
    <w:rsid w:val="007F30DA"/>
    <w:pPr>
      <w:tabs>
        <w:tab w:val="clear" w:pos="9900"/>
      </w:tabs>
      <w:spacing w:before="120" w:after="0"/>
      <w:ind w:left="1440"/>
    </w:pPr>
    <w:rPr>
      <w:rFonts w:eastAsia="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ghways.dot.gov/federal-lands/business/escalation-factors-cfl" TargetMode="External"/><Relationship Id="rId5" Type="http://schemas.openxmlformats.org/officeDocument/2006/relationships/hyperlink" Target="https://highways.dot.gov/federal-lands/business/escalation-factors-cf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109-fp24</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Measurement and Payment</dc:title>
  <dc:subject/>
  <dc:creator>FHWA</dc:creator>
  <cp:keywords/>
  <dc:description/>
  <cp:lastModifiedBy>Black, Christine (FHWA)</cp:lastModifiedBy>
  <cp:revision>17</cp:revision>
  <cp:lastPrinted>2023-12-05T17:03:00Z</cp:lastPrinted>
  <dcterms:created xsi:type="dcterms:W3CDTF">2024-07-02T15:11:00Z</dcterms:created>
  <dcterms:modified xsi:type="dcterms:W3CDTF">2025-02-24T21:59:00Z</dcterms:modified>
</cp:coreProperties>
</file>