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8D91" w14:textId="28E74D74" w:rsidR="00D1581B" w:rsidRDefault="00635932" w:rsidP="00D1581B">
      <w:pPr>
        <w:pStyle w:val="BodyText"/>
        <w:spacing w:after="0"/>
        <w:jc w:val="right"/>
        <w:rPr>
          <w:vanish/>
        </w:rPr>
      </w:pPr>
      <w:r w:rsidRPr="00D93F1C">
        <w:rPr>
          <w:vanish/>
        </w:rPr>
        <w:t>02</w:t>
      </w:r>
      <w:r w:rsidR="00D1581B">
        <w:rPr>
          <w:vanish/>
        </w:rPr>
        <w:t>/</w:t>
      </w:r>
      <w:r>
        <w:rPr>
          <w:vanish/>
        </w:rPr>
        <w:t>25</w:t>
      </w:r>
      <w:r w:rsidR="00D1581B">
        <w:rPr>
          <w:vanish/>
        </w:rPr>
        <w:t>/202</w:t>
      </w:r>
      <w:r>
        <w:rPr>
          <w:vanish/>
        </w:rPr>
        <w:t>5</w:t>
      </w:r>
    </w:p>
    <w:p w14:paraId="011A27CA" w14:textId="6155C0E0" w:rsidR="002C677B" w:rsidRDefault="009E48A8" w:rsidP="009E48A8">
      <w:pPr>
        <w:pStyle w:val="Heading2"/>
      </w:pPr>
      <w:r>
        <w:t xml:space="preserve">Section </w:t>
      </w:r>
      <w:r w:rsidR="005C3C05">
        <w:t>107</w:t>
      </w:r>
      <w:r>
        <w:t xml:space="preserve">. </w:t>
      </w:r>
      <w:r w:rsidR="00F630F9" w:rsidRPr="003A33E2">
        <w:t>—</w:t>
      </w:r>
      <w:r>
        <w:t xml:space="preserve"> </w:t>
      </w:r>
      <w:r w:rsidR="005C3C05">
        <w:t>LEGAL RELATIONS</w:t>
      </w:r>
      <w:r w:rsidR="005C3C05">
        <w:br/>
        <w:t>AND RESPONSIBILITY TO THE PUBLIC</w:t>
      </w:r>
    </w:p>
    <w:p w14:paraId="1C9D09DB" w14:textId="1F7CB05D" w:rsidR="005C3C05" w:rsidRDefault="005C3C05" w:rsidP="00094A00">
      <w:pPr>
        <w:pStyle w:val="BodyText"/>
        <w:rPr>
          <w:u w:val="single"/>
        </w:rPr>
      </w:pPr>
      <w:r w:rsidRPr="00094A00">
        <w:rPr>
          <w:b/>
          <w:bCs/>
        </w:rPr>
        <w:t>107.01 Laws to be Observed.</w:t>
      </w:r>
      <w:r w:rsidRPr="00E862BF">
        <w:t xml:space="preserve"> </w:t>
      </w:r>
      <w:r w:rsidRPr="00E862BF">
        <w:rPr>
          <w:u w:val="single"/>
        </w:rPr>
        <w:t>Add the following:</w:t>
      </w:r>
    </w:p>
    <w:p w14:paraId="0D86B44F" w14:textId="16C957A7" w:rsidR="002B01E6" w:rsidRPr="003A48D9" w:rsidRDefault="003A48D9"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vanish/>
          <w:u w:val="single"/>
        </w:rPr>
      </w:pPr>
      <w:r>
        <w:rPr>
          <w:rFonts w:eastAsia="MS Mincho"/>
          <w:bCs/>
          <w:vanish/>
          <w:szCs w:val="32"/>
        </w:rPr>
        <w:t xml:space="preserve">Include </w:t>
      </w:r>
      <w:r w:rsidR="007943E2">
        <w:rPr>
          <w:rFonts w:eastAsia="MS Mincho"/>
          <w:bCs/>
          <w:vanish/>
          <w:szCs w:val="32"/>
        </w:rPr>
        <w:t xml:space="preserve">(a) </w:t>
      </w:r>
      <w:r>
        <w:rPr>
          <w:rFonts w:eastAsia="MS Mincho"/>
          <w:bCs/>
          <w:vanish/>
          <w:szCs w:val="32"/>
        </w:rPr>
        <w:t xml:space="preserve">if </w:t>
      </w:r>
      <w:r w:rsidR="002B01E6" w:rsidRPr="003A48D9">
        <w:rPr>
          <w:rFonts w:eastAsia="MS Mincho"/>
          <w:bCs/>
          <w:vanish/>
          <w:szCs w:val="32"/>
        </w:rPr>
        <w:t xml:space="preserve">a 401 or 404 permit is </w:t>
      </w:r>
      <w:r w:rsidR="007943E2">
        <w:rPr>
          <w:rFonts w:eastAsia="MS Mincho"/>
          <w:bCs/>
          <w:vanish/>
          <w:szCs w:val="32"/>
        </w:rPr>
        <w:t>required</w:t>
      </w:r>
      <w:r w:rsidR="002B01E6" w:rsidRPr="003A48D9">
        <w:rPr>
          <w:rFonts w:eastAsia="MS Mincho"/>
          <w:bCs/>
          <w:vanish/>
          <w:szCs w:val="32"/>
        </w:rPr>
        <w:t>.</w:t>
      </w:r>
      <w:r w:rsidR="00E014D5" w:rsidRPr="003A48D9">
        <w:rPr>
          <w:rFonts w:eastAsia="MS Mincho"/>
          <w:bCs/>
          <w:vanish/>
          <w:szCs w:val="32"/>
        </w:rPr>
        <w:t xml:space="preserve"> Coordinate with E</w:t>
      </w:r>
      <w:r w:rsidR="00D4380C">
        <w:rPr>
          <w:rFonts w:eastAsia="MS Mincho"/>
          <w:bCs/>
          <w:vanish/>
          <w:szCs w:val="32"/>
        </w:rPr>
        <w:t xml:space="preserve">nvironment </w:t>
      </w:r>
      <w:r w:rsidR="00E014D5" w:rsidRPr="003A48D9">
        <w:rPr>
          <w:rFonts w:eastAsia="MS Mincho"/>
          <w:bCs/>
          <w:vanish/>
          <w:szCs w:val="32"/>
        </w:rPr>
        <w:t>on the permitting needs.</w:t>
      </w:r>
    </w:p>
    <w:p w14:paraId="28921D7C" w14:textId="23012164" w:rsidR="005C3C05" w:rsidRDefault="003A48D9" w:rsidP="00C61B5A">
      <w:pPr>
        <w:pStyle w:val="BodyText"/>
        <w:ind w:left="360"/>
      </w:pPr>
      <w:r>
        <w:rPr>
          <w:b/>
          <w:bCs/>
        </w:rPr>
        <w:t xml:space="preserve">(a) </w:t>
      </w:r>
      <w:r w:rsidR="005C3C05" w:rsidRPr="00E862BF">
        <w:rPr>
          <w:b/>
          <w:bCs/>
        </w:rPr>
        <w:t xml:space="preserve">Section 401 and </w:t>
      </w:r>
      <w:r w:rsidR="00142EDB">
        <w:rPr>
          <w:b/>
          <w:bCs/>
        </w:rPr>
        <w:t xml:space="preserve">Section </w:t>
      </w:r>
      <w:r w:rsidR="005C3C05" w:rsidRPr="00E862BF">
        <w:rPr>
          <w:b/>
          <w:bCs/>
        </w:rPr>
        <w:t>404 of the Clean Water Act.</w:t>
      </w:r>
      <w:r w:rsidR="005C3C05">
        <w:rPr>
          <w:b/>
          <w:bCs/>
        </w:rPr>
        <w:t xml:space="preserve"> </w:t>
      </w:r>
      <w:r w:rsidR="005C3C05" w:rsidRPr="00E862BF">
        <w:t xml:space="preserve">Comply with the terms and conditions of any permits that </w:t>
      </w:r>
      <w:r w:rsidR="005C3C05">
        <w:t xml:space="preserve">authorize the discharge of dredged or fill material in waters of the U.S., including Section 404 permits and Section 401 water quality certifications. See the </w:t>
      </w:r>
      <w:r w:rsidR="00296D06">
        <w:t>A</w:t>
      </w:r>
      <w:r w:rsidR="005C3C05">
        <w:t>ppendix for permits</w:t>
      </w:r>
      <w:r w:rsidR="000950A6">
        <w:t>.</w:t>
      </w:r>
    </w:p>
    <w:p w14:paraId="7E776274" w14:textId="41D0BCB6" w:rsidR="002B01E6" w:rsidRPr="00C61B5A" w:rsidRDefault="007943E2"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bCs/>
          <w:vanish/>
          <w:szCs w:val="32"/>
        </w:rPr>
      </w:pPr>
      <w:r w:rsidRPr="00C61B5A">
        <w:rPr>
          <w:rFonts w:eastAsia="MS Mincho"/>
          <w:bCs/>
          <w:vanish/>
          <w:szCs w:val="32"/>
        </w:rPr>
        <w:t xml:space="preserve">Include (b) </w:t>
      </w:r>
      <w:r w:rsidR="00D4380C">
        <w:rPr>
          <w:rFonts w:eastAsia="MS Mincho"/>
          <w:bCs/>
          <w:vanish/>
          <w:szCs w:val="32"/>
        </w:rPr>
        <w:t xml:space="preserve">if </w:t>
      </w:r>
      <w:r w:rsidR="002B01E6" w:rsidRPr="00C61B5A">
        <w:rPr>
          <w:rFonts w:eastAsia="MS Mincho"/>
          <w:bCs/>
          <w:vanish/>
          <w:szCs w:val="32"/>
        </w:rPr>
        <w:t>an NPDES permit</w:t>
      </w:r>
      <w:r w:rsidRPr="00C61B5A">
        <w:rPr>
          <w:rFonts w:eastAsia="MS Mincho"/>
          <w:bCs/>
          <w:vanish/>
          <w:szCs w:val="32"/>
        </w:rPr>
        <w:t xml:space="preserve"> is required</w:t>
      </w:r>
      <w:r w:rsidR="002B01E6" w:rsidRPr="00C61B5A">
        <w:rPr>
          <w:rFonts w:eastAsia="MS Mincho"/>
          <w:bCs/>
          <w:vanish/>
          <w:szCs w:val="32"/>
        </w:rPr>
        <w:t xml:space="preserve">. </w:t>
      </w:r>
      <w:r w:rsidRPr="00C61B5A">
        <w:rPr>
          <w:rFonts w:eastAsia="MS Mincho"/>
          <w:bCs/>
          <w:vanish/>
          <w:szCs w:val="32"/>
        </w:rPr>
        <w:t>Coordinate with E</w:t>
      </w:r>
      <w:r w:rsidR="00D4380C">
        <w:rPr>
          <w:rFonts w:eastAsia="MS Mincho"/>
          <w:bCs/>
          <w:vanish/>
          <w:szCs w:val="32"/>
        </w:rPr>
        <w:t>nvironment</w:t>
      </w:r>
      <w:r w:rsidRPr="00C61B5A">
        <w:rPr>
          <w:rFonts w:eastAsia="MS Mincho"/>
          <w:bCs/>
          <w:vanish/>
          <w:szCs w:val="32"/>
        </w:rPr>
        <w:t xml:space="preserve"> on the permitting needs</w:t>
      </w:r>
      <w:r>
        <w:rPr>
          <w:rFonts w:eastAsia="MS Mincho"/>
          <w:bCs/>
          <w:vanish/>
          <w:szCs w:val="32"/>
        </w:rPr>
        <w:t xml:space="preserve"> and for any project-specific requirements.</w:t>
      </w:r>
    </w:p>
    <w:p w14:paraId="6141ABB9" w14:textId="57EC3ED6" w:rsidR="00841E8E" w:rsidRDefault="00841E8E" w:rsidP="00841E8E">
      <w:pPr>
        <w:pStyle w:val="BodyText"/>
        <w:ind w:left="360"/>
        <w:rPr>
          <w:szCs w:val="24"/>
        </w:rPr>
      </w:pPr>
      <w:bookmarkStart w:id="0" w:name="_Hlk152156312"/>
      <w:r w:rsidRPr="00516A56">
        <w:rPr>
          <w:rFonts w:eastAsia="MS Mincho"/>
          <w:b/>
          <w:szCs w:val="24"/>
        </w:rPr>
        <w:t xml:space="preserve">(b) National </w:t>
      </w:r>
      <w:r w:rsidRPr="00516A56">
        <w:rPr>
          <w:b/>
          <w:szCs w:val="24"/>
        </w:rPr>
        <w:t>Pollutant</w:t>
      </w:r>
      <w:r w:rsidRPr="00516A56">
        <w:rPr>
          <w:rFonts w:eastAsia="MS Mincho"/>
          <w:b/>
          <w:szCs w:val="24"/>
        </w:rPr>
        <w:t xml:space="preserve"> Discharge Elimination System (NPDES). </w:t>
      </w:r>
      <w:r w:rsidRPr="00516A56">
        <w:rPr>
          <w:szCs w:val="24"/>
        </w:rPr>
        <w:t>Comply with the requirements of the applicable Construction General Permit (CGP)</w:t>
      </w:r>
      <w:r>
        <w:rPr>
          <w:szCs w:val="24"/>
        </w:rPr>
        <w:t xml:space="preserve"> as shown in Table 107-1. The applicable CGP is </w:t>
      </w:r>
      <w:r w:rsidR="00846E46" w:rsidRPr="00846E46">
        <w:rPr>
          <w:szCs w:val="24"/>
          <w:highlight w:val="yellow"/>
        </w:rPr>
        <w:t>&lt;&lt;&lt;</w:t>
      </w:r>
      <w:r w:rsidRPr="00846E46">
        <w:rPr>
          <w:szCs w:val="24"/>
          <w:highlight w:val="yellow"/>
        </w:rPr>
        <w:t>fill in State / Agency from Table 107-1</w:t>
      </w:r>
      <w:r w:rsidR="00846E46" w:rsidRPr="00846E46">
        <w:rPr>
          <w:szCs w:val="24"/>
          <w:highlight w:val="yellow"/>
        </w:rPr>
        <w:t>&gt;&gt;&gt;</w:t>
      </w:r>
      <w:r w:rsidRPr="00846E46">
        <w:rPr>
          <w:szCs w:val="24"/>
          <w:highlight w:val="yellow"/>
        </w:rPr>
        <w:t>.</w:t>
      </w:r>
    </w:p>
    <w:p w14:paraId="2F65C873" w14:textId="0BF65D78" w:rsidR="00841E8E" w:rsidRPr="00516A56" w:rsidRDefault="00841E8E" w:rsidP="00841E8E">
      <w:pPr>
        <w:pStyle w:val="BodyText"/>
        <w:ind w:left="360"/>
        <w:rPr>
          <w:szCs w:val="24"/>
        </w:rPr>
      </w:pPr>
      <w:r>
        <w:rPr>
          <w:szCs w:val="24"/>
        </w:rPr>
        <w:t xml:space="preserve">Prepare a </w:t>
      </w:r>
      <w:r w:rsidRPr="00516A56">
        <w:rPr>
          <w:szCs w:val="24"/>
        </w:rPr>
        <w:t>S</w:t>
      </w:r>
      <w:r>
        <w:rPr>
          <w:szCs w:val="24"/>
        </w:rPr>
        <w:t xml:space="preserve">tormwater Pollution Prevention Plan (SWPPP) according to </w:t>
      </w:r>
      <w:r w:rsidRPr="00516A56">
        <w:rPr>
          <w:szCs w:val="24"/>
        </w:rPr>
        <w:t>Section 157.</w:t>
      </w:r>
      <w:r>
        <w:rPr>
          <w:szCs w:val="24"/>
        </w:rPr>
        <w:t xml:space="preserve"> If the current CGP expires during the contract, a</w:t>
      </w:r>
      <w:r w:rsidRPr="00516A56">
        <w:rPr>
          <w:szCs w:val="24"/>
        </w:rPr>
        <w:t>mend the SWPPP when a new permit goes into effect to meet new permit conditions.</w:t>
      </w:r>
    </w:p>
    <w:p w14:paraId="6EC7C15C" w14:textId="77777777" w:rsidR="00841E8E" w:rsidRPr="00516A56" w:rsidRDefault="00841E8E" w:rsidP="00841E8E">
      <w:pPr>
        <w:pStyle w:val="BodyText"/>
        <w:ind w:left="360"/>
        <w:rPr>
          <w:rFonts w:eastAsia="MS Mincho"/>
          <w:szCs w:val="24"/>
        </w:rPr>
      </w:pPr>
      <w:r w:rsidRPr="00516A56">
        <w:rPr>
          <w:rFonts w:eastAsia="MS Mincho"/>
          <w:szCs w:val="24"/>
        </w:rPr>
        <w:t xml:space="preserve">Obtain a separate </w:t>
      </w:r>
      <w:r w:rsidRPr="00516A56">
        <w:rPr>
          <w:szCs w:val="24"/>
        </w:rPr>
        <w:t>NPDES</w:t>
      </w:r>
      <w:r w:rsidRPr="00516A56">
        <w:rPr>
          <w:rFonts w:eastAsia="MS Mincho"/>
          <w:szCs w:val="24"/>
        </w:rPr>
        <w:t xml:space="preserve"> permit associated with industrial activity for mobile asphalt and concrete plants that provide material for the project. Provide a copy of the permit and acknowledgement letter </w:t>
      </w:r>
      <w:r w:rsidRPr="00516A56">
        <w:rPr>
          <w:bCs/>
          <w:szCs w:val="24"/>
        </w:rPr>
        <w:t>to</w:t>
      </w:r>
      <w:r w:rsidRPr="00516A56">
        <w:rPr>
          <w:rFonts w:eastAsia="MS Mincho"/>
          <w:szCs w:val="24"/>
        </w:rPr>
        <w:t xml:space="preserve"> the CO.</w:t>
      </w:r>
    </w:p>
    <w:p w14:paraId="0051E19C" w14:textId="5093A2CF" w:rsidR="00841E8E" w:rsidRPr="00516A56" w:rsidRDefault="00841E8E" w:rsidP="00841E8E">
      <w:pPr>
        <w:pStyle w:val="BodyText"/>
        <w:ind w:left="720"/>
        <w:rPr>
          <w:rFonts w:eastAsia="MS Mincho"/>
          <w:szCs w:val="24"/>
        </w:rPr>
      </w:pPr>
      <w:r w:rsidRPr="00516A56">
        <w:rPr>
          <w:rFonts w:eastAsia="MS Mincho"/>
          <w:b/>
          <w:bCs/>
          <w:szCs w:val="24"/>
        </w:rPr>
        <w:t>(</w:t>
      </w:r>
      <w:r>
        <w:rPr>
          <w:rFonts w:eastAsia="MS Mincho"/>
          <w:b/>
          <w:bCs/>
          <w:szCs w:val="24"/>
        </w:rPr>
        <w:t>1</w:t>
      </w:r>
      <w:r w:rsidRPr="00516A56">
        <w:rPr>
          <w:rFonts w:eastAsia="MS Mincho"/>
          <w:b/>
          <w:bCs/>
          <w:szCs w:val="24"/>
        </w:rPr>
        <w:t>) Notice of Intent (NOI).</w:t>
      </w:r>
      <w:r>
        <w:rPr>
          <w:rFonts w:eastAsia="MS Mincho"/>
          <w:bCs/>
          <w:szCs w:val="24"/>
        </w:rPr>
        <w:t xml:space="preserve"> After the SWPPP is approved, f</w:t>
      </w:r>
      <w:r w:rsidRPr="00516A56">
        <w:rPr>
          <w:rFonts w:eastAsia="MS Mincho"/>
          <w:bCs/>
          <w:szCs w:val="24"/>
        </w:rPr>
        <w:t xml:space="preserve">ile the NOI </w:t>
      </w:r>
      <w:r w:rsidR="0057510B">
        <w:rPr>
          <w:rFonts w:eastAsia="MS Mincho"/>
          <w:bCs/>
          <w:szCs w:val="24"/>
        </w:rPr>
        <w:t>according to the applicable CGP</w:t>
      </w:r>
      <w:r w:rsidR="00916691">
        <w:rPr>
          <w:rFonts w:eastAsia="MS Mincho"/>
          <w:bCs/>
          <w:szCs w:val="24"/>
        </w:rPr>
        <w:t xml:space="preserve"> as shown in Table 107-1</w:t>
      </w:r>
      <w:r>
        <w:rPr>
          <w:rFonts w:eastAsia="MS Mincho"/>
          <w:bCs/>
          <w:szCs w:val="24"/>
        </w:rPr>
        <w:t>.</w:t>
      </w:r>
      <w:r w:rsidRPr="00516A56">
        <w:rPr>
          <w:rFonts w:eastAsia="MS Mincho"/>
          <w:bCs/>
          <w:szCs w:val="24"/>
        </w:rPr>
        <w:t xml:space="preserve"> Allow </w:t>
      </w:r>
      <w:r>
        <w:rPr>
          <w:rFonts w:eastAsia="MS Mincho"/>
          <w:bCs/>
          <w:szCs w:val="24"/>
        </w:rPr>
        <w:t xml:space="preserve">the regulatory review period, shown in Table 107-1, </w:t>
      </w:r>
      <w:r w:rsidRPr="00516A56">
        <w:rPr>
          <w:rFonts w:eastAsia="MS Mincho"/>
          <w:bCs/>
          <w:szCs w:val="24"/>
        </w:rPr>
        <w:t xml:space="preserve">from submittal of NOI to receipt of authorization of coverage under the </w:t>
      </w:r>
      <w:r>
        <w:rPr>
          <w:rFonts w:eastAsia="MS Mincho"/>
          <w:bCs/>
          <w:szCs w:val="24"/>
        </w:rPr>
        <w:t>CGP</w:t>
      </w:r>
      <w:r w:rsidRPr="00516A56">
        <w:rPr>
          <w:rFonts w:eastAsia="MS Mincho"/>
          <w:bCs/>
          <w:szCs w:val="24"/>
        </w:rPr>
        <w:t>. Provide a copy of the NOI and confirmation letter to the CO.</w:t>
      </w:r>
    </w:p>
    <w:p w14:paraId="6048C276" w14:textId="77777777" w:rsidR="00841E8E" w:rsidRPr="00516A56" w:rsidRDefault="00841E8E" w:rsidP="00841E8E">
      <w:pPr>
        <w:pStyle w:val="BodyText"/>
        <w:ind w:left="720"/>
        <w:rPr>
          <w:szCs w:val="24"/>
        </w:rPr>
      </w:pPr>
      <w:r w:rsidRPr="00516A56">
        <w:rPr>
          <w:szCs w:val="24"/>
        </w:rPr>
        <w:t>Post all project authorization numbers near the entrance to the site and on the bulletin board.</w:t>
      </w:r>
    </w:p>
    <w:p w14:paraId="625909D3" w14:textId="77777777" w:rsidR="00841E8E" w:rsidRPr="00516A56" w:rsidRDefault="00841E8E" w:rsidP="00841E8E">
      <w:pPr>
        <w:pStyle w:val="BodyText"/>
        <w:ind w:left="720"/>
        <w:rPr>
          <w:szCs w:val="24"/>
        </w:rPr>
      </w:pPr>
      <w:r w:rsidRPr="00516A56">
        <w:rPr>
          <w:b/>
          <w:bCs/>
          <w:szCs w:val="24"/>
        </w:rPr>
        <w:t>(</w:t>
      </w:r>
      <w:r>
        <w:rPr>
          <w:b/>
          <w:bCs/>
          <w:szCs w:val="24"/>
        </w:rPr>
        <w:t>2</w:t>
      </w:r>
      <w:r w:rsidRPr="00516A56">
        <w:rPr>
          <w:b/>
          <w:bCs/>
          <w:szCs w:val="24"/>
        </w:rPr>
        <w:t>) Payment of permit fees.</w:t>
      </w:r>
      <w:r w:rsidRPr="00516A56">
        <w:rPr>
          <w:szCs w:val="24"/>
        </w:rPr>
        <w:t xml:space="preserve"> Submit the appropriate permit fees and renewal fees required for both the Contractor and Government to the regulatory agency.</w:t>
      </w:r>
    </w:p>
    <w:p w14:paraId="78C47BEC" w14:textId="512A7254" w:rsidR="009559D8" w:rsidRPr="009559D8" w:rsidRDefault="00841E8E" w:rsidP="009559D8">
      <w:pPr>
        <w:ind w:left="720"/>
        <w:rPr>
          <w:rFonts w:ascii="Times New Roman" w:eastAsia="MS Mincho" w:hAnsi="Times New Roman" w:cs="Times New Roman"/>
          <w:sz w:val="24"/>
          <w:szCs w:val="24"/>
        </w:rPr>
      </w:pPr>
      <w:r w:rsidRPr="00516A56">
        <w:rPr>
          <w:rFonts w:ascii="Times New Roman" w:eastAsia="MS Mincho" w:hAnsi="Times New Roman" w:cs="Times New Roman"/>
          <w:b/>
          <w:bCs/>
          <w:sz w:val="24"/>
          <w:szCs w:val="24"/>
        </w:rPr>
        <w:t>(</w:t>
      </w:r>
      <w:r>
        <w:rPr>
          <w:rFonts w:ascii="Times New Roman" w:eastAsia="MS Mincho" w:hAnsi="Times New Roman" w:cs="Times New Roman"/>
          <w:b/>
          <w:bCs/>
          <w:sz w:val="24"/>
          <w:szCs w:val="24"/>
        </w:rPr>
        <w:t>3</w:t>
      </w:r>
      <w:r w:rsidRPr="00516A56">
        <w:rPr>
          <w:rFonts w:ascii="Times New Roman" w:eastAsia="MS Mincho" w:hAnsi="Times New Roman" w:cs="Times New Roman"/>
          <w:b/>
          <w:bCs/>
          <w:sz w:val="24"/>
          <w:szCs w:val="24"/>
        </w:rPr>
        <w:t xml:space="preserve">) Notice </w:t>
      </w:r>
      <w:r w:rsidRPr="00516A56">
        <w:rPr>
          <w:rFonts w:ascii="Times New Roman" w:eastAsia="MS Mincho" w:hAnsi="Times New Roman" w:cs="Times New Roman"/>
          <w:b/>
          <w:sz w:val="24"/>
          <w:szCs w:val="24"/>
        </w:rPr>
        <w:t>of</w:t>
      </w:r>
      <w:r w:rsidRPr="00516A56">
        <w:rPr>
          <w:rFonts w:ascii="Times New Roman" w:eastAsia="MS Mincho" w:hAnsi="Times New Roman" w:cs="Times New Roman"/>
          <w:b/>
          <w:bCs/>
          <w:sz w:val="24"/>
          <w:szCs w:val="24"/>
        </w:rPr>
        <w:t xml:space="preserve"> Termination (NOT).</w:t>
      </w:r>
      <w:r w:rsidRPr="00516A5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If applicable, f</w:t>
      </w:r>
      <w:r w:rsidRPr="00516A56">
        <w:rPr>
          <w:rFonts w:ascii="Times New Roman" w:eastAsia="MS Mincho" w:hAnsi="Times New Roman" w:cs="Times New Roman"/>
          <w:sz w:val="24"/>
          <w:szCs w:val="24"/>
        </w:rPr>
        <w:t>ile a NOT when the conditions listed in the CGP have been met</w:t>
      </w:r>
      <w:r>
        <w:rPr>
          <w:rFonts w:ascii="Times New Roman" w:eastAsia="MS Mincho" w:hAnsi="Times New Roman" w:cs="Times New Roman"/>
          <w:sz w:val="24"/>
          <w:szCs w:val="24"/>
        </w:rPr>
        <w:t xml:space="preserve"> or transfer the NOI to the maintaining agency after final acceptance</w:t>
      </w:r>
      <w:r w:rsidRPr="00516A56">
        <w:rPr>
          <w:rFonts w:ascii="Times New Roman" w:eastAsia="MS Mincho" w:hAnsi="Times New Roman" w:cs="Times New Roman"/>
          <w:sz w:val="24"/>
          <w:szCs w:val="24"/>
        </w:rPr>
        <w:t>.</w:t>
      </w:r>
    </w:p>
    <w:p w14:paraId="64FE490E" w14:textId="0FF5A883" w:rsidR="00980AE8" w:rsidRDefault="00980AE8"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32"/>
        </w:rPr>
      </w:pPr>
      <w:r w:rsidRPr="00F37CE9">
        <w:rPr>
          <w:rFonts w:ascii="Times New Roman" w:eastAsia="MS Mincho" w:hAnsi="Times New Roman"/>
          <w:bCs/>
          <w:vanish/>
          <w:sz w:val="24"/>
          <w:szCs w:val="32"/>
        </w:rPr>
        <w:t xml:space="preserve">Include </w:t>
      </w:r>
      <w:r>
        <w:rPr>
          <w:rFonts w:ascii="Times New Roman" w:eastAsia="MS Mincho" w:hAnsi="Times New Roman"/>
          <w:bCs/>
          <w:vanish/>
          <w:sz w:val="24"/>
          <w:szCs w:val="32"/>
        </w:rPr>
        <w:t xml:space="preserve">the entire </w:t>
      </w:r>
      <w:r w:rsidR="000C33C7">
        <w:rPr>
          <w:rFonts w:ascii="Times New Roman" w:eastAsia="MS Mincho" w:hAnsi="Times New Roman"/>
          <w:bCs/>
          <w:vanish/>
          <w:sz w:val="24"/>
          <w:szCs w:val="32"/>
        </w:rPr>
        <w:t>T</w:t>
      </w:r>
      <w:r>
        <w:rPr>
          <w:rFonts w:ascii="Times New Roman" w:eastAsia="MS Mincho" w:hAnsi="Times New Roman"/>
          <w:bCs/>
          <w:vanish/>
          <w:sz w:val="24"/>
          <w:szCs w:val="32"/>
        </w:rPr>
        <w:t xml:space="preserve">able </w:t>
      </w:r>
      <w:r w:rsidR="000C33C7">
        <w:rPr>
          <w:rFonts w:ascii="Times New Roman" w:eastAsia="MS Mincho" w:hAnsi="Times New Roman"/>
          <w:bCs/>
          <w:vanish/>
          <w:sz w:val="24"/>
          <w:szCs w:val="32"/>
        </w:rPr>
        <w:t xml:space="preserve">107-1 </w:t>
      </w:r>
      <w:r>
        <w:rPr>
          <w:rFonts w:ascii="Times New Roman" w:eastAsia="MS Mincho" w:hAnsi="Times New Roman"/>
          <w:bCs/>
          <w:vanish/>
          <w:sz w:val="24"/>
          <w:szCs w:val="32"/>
        </w:rPr>
        <w:t xml:space="preserve">– do not delete rows from </w:t>
      </w:r>
      <w:r w:rsidR="00DA6A8C">
        <w:rPr>
          <w:rFonts w:ascii="Times New Roman" w:eastAsia="MS Mincho" w:hAnsi="Times New Roman"/>
          <w:bCs/>
          <w:vanish/>
          <w:sz w:val="24"/>
          <w:szCs w:val="32"/>
        </w:rPr>
        <w:t xml:space="preserve">the </w:t>
      </w:r>
      <w:r>
        <w:rPr>
          <w:rFonts w:ascii="Times New Roman" w:eastAsia="MS Mincho" w:hAnsi="Times New Roman"/>
          <w:bCs/>
          <w:vanish/>
          <w:sz w:val="24"/>
          <w:szCs w:val="32"/>
        </w:rPr>
        <w:t>table</w:t>
      </w:r>
      <w:r w:rsidR="000C33C7">
        <w:rPr>
          <w:rFonts w:ascii="Times New Roman" w:eastAsia="MS Mincho" w:hAnsi="Times New Roman"/>
          <w:bCs/>
          <w:vanish/>
          <w:sz w:val="24"/>
          <w:szCs w:val="32"/>
        </w:rPr>
        <w:t>.</w:t>
      </w:r>
    </w:p>
    <w:p w14:paraId="72054200" w14:textId="61FAA161" w:rsidR="000C33C7" w:rsidRDefault="000C33C7"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32"/>
        </w:rPr>
        <w:lastRenderedPageBreak/>
        <w:t xml:space="preserve">For projects in Indian Country, revise the </w:t>
      </w:r>
      <w:r w:rsidR="000950A6" w:rsidRPr="00C61B5A">
        <w:rPr>
          <w:rFonts w:ascii="Times New Roman" w:eastAsia="MS Mincho" w:hAnsi="Times New Roman"/>
          <w:bCs/>
          <w:vanish/>
          <w:sz w:val="24"/>
          <w:szCs w:val="32"/>
          <w:highlight w:val="yellow"/>
        </w:rPr>
        <w:t>XX</w:t>
      </w:r>
      <w:r w:rsidR="000950A6">
        <w:rPr>
          <w:rFonts w:ascii="Times New Roman" w:eastAsia="MS Mincho" w:hAnsi="Times New Roman"/>
          <w:bCs/>
          <w:vanish/>
          <w:sz w:val="24"/>
          <w:szCs w:val="32"/>
        </w:rPr>
        <w:t xml:space="preserve"> in the </w:t>
      </w:r>
      <w:r>
        <w:rPr>
          <w:rFonts w:ascii="Times New Roman" w:eastAsia="MS Mincho" w:hAnsi="Times New Roman"/>
          <w:bCs/>
          <w:vanish/>
          <w:sz w:val="24"/>
          <w:szCs w:val="32"/>
        </w:rPr>
        <w:t xml:space="preserve">permit number to match the applicable state – see this EPA website for permit numbers </w:t>
      </w:r>
      <w:hyperlink r:id="rId6" w:history="1">
        <w:r w:rsidRPr="00C61B5A">
          <w:rPr>
            <w:rStyle w:val="Hyperlink"/>
            <w:rFonts w:ascii="Times New Roman" w:hAnsi="Times New Roman"/>
            <w:vanish/>
            <w:sz w:val="24"/>
            <w:szCs w:val="24"/>
          </w:rPr>
          <w:t>https://www.epa.gov/system/files/documents/2022-01/2022-cgp-final-appendix-b-areas-of-permit-cover.pdf</w:t>
        </w:r>
      </w:hyperlink>
      <w:r w:rsidRPr="000C33C7">
        <w:rPr>
          <w:rFonts w:ascii="Times New Roman" w:eastAsia="MS Mincho" w:hAnsi="Times New Roman"/>
          <w:bCs/>
          <w:vanish/>
          <w:sz w:val="24"/>
          <w:szCs w:val="24"/>
        </w:rPr>
        <w:t>.</w:t>
      </w:r>
    </w:p>
    <w:p w14:paraId="36E02656" w14:textId="77777777" w:rsidR="009559D8" w:rsidRDefault="009559D8" w:rsidP="009559D8">
      <w:pPr>
        <w:spacing w:after="0"/>
        <w:ind w:left="720"/>
        <w:jc w:val="center"/>
        <w:rPr>
          <w:rFonts w:ascii="Times New Roman" w:hAnsi="Times New Roman" w:cs="Times New Roman"/>
          <w:b/>
          <w:bCs/>
          <w:sz w:val="24"/>
          <w:szCs w:val="24"/>
        </w:rPr>
      </w:pPr>
      <w:r w:rsidRPr="009559D8">
        <w:rPr>
          <w:rFonts w:ascii="Times New Roman" w:hAnsi="Times New Roman" w:cs="Times New Roman"/>
          <w:b/>
          <w:bCs/>
          <w:sz w:val="24"/>
          <w:szCs w:val="24"/>
        </w:rPr>
        <w:t>Table 107-1</w:t>
      </w:r>
    </w:p>
    <w:p w14:paraId="1BDEE601" w14:textId="7F889C46" w:rsidR="009559D8" w:rsidRPr="009559D8" w:rsidRDefault="009559D8" w:rsidP="009559D8">
      <w:pPr>
        <w:spacing w:after="0"/>
        <w:ind w:left="720"/>
        <w:jc w:val="center"/>
        <w:rPr>
          <w:rFonts w:ascii="Times New Roman" w:eastAsia="MS Mincho" w:hAnsi="Times New Roman" w:cs="Times New Roman"/>
          <w:sz w:val="24"/>
          <w:szCs w:val="24"/>
        </w:rPr>
      </w:pPr>
      <w:r w:rsidRPr="009559D8">
        <w:rPr>
          <w:rFonts w:ascii="Times New Roman" w:hAnsi="Times New Roman" w:cs="Times New Roman"/>
          <w:b/>
          <w:bCs/>
          <w:sz w:val="24"/>
          <w:szCs w:val="24"/>
        </w:rPr>
        <w:t>NPDES Permits</w:t>
      </w:r>
    </w:p>
    <w:tbl>
      <w:tblPr>
        <w:tblW w:w="9270" w:type="dxa"/>
        <w:tblInd w:w="260" w:type="dxa"/>
        <w:tblLayout w:type="fixed"/>
        <w:tblLook w:val="04A0" w:firstRow="1" w:lastRow="0" w:firstColumn="1" w:lastColumn="0" w:noHBand="0" w:noVBand="1"/>
      </w:tblPr>
      <w:tblGrid>
        <w:gridCol w:w="1530"/>
        <w:gridCol w:w="1800"/>
        <w:gridCol w:w="2250"/>
        <w:gridCol w:w="1980"/>
        <w:gridCol w:w="1710"/>
      </w:tblGrid>
      <w:tr w:rsidR="00BB5190" w:rsidRPr="00F72BD7" w14:paraId="54FEDAFE" w14:textId="77777777" w:rsidTr="009559D8">
        <w:trPr>
          <w:trHeight w:val="290"/>
          <w:tblHead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4F99" w14:textId="77777777" w:rsidR="00BB5190" w:rsidRPr="00611C2D" w:rsidRDefault="00BB5190" w:rsidP="00611C2D">
            <w:pPr>
              <w:pStyle w:val="BodyText"/>
              <w:spacing w:after="120"/>
              <w:contextualSpacing/>
              <w:jc w:val="center"/>
              <w:rPr>
                <w:b/>
                <w:bCs/>
                <w:sz w:val="20"/>
              </w:rPr>
            </w:pPr>
            <w:r w:rsidRPr="00611C2D">
              <w:rPr>
                <w:b/>
                <w:bCs/>
                <w:sz w:val="20"/>
              </w:rPr>
              <w:t>State / Agency</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9389818" w14:textId="77777777" w:rsidR="00BB5190" w:rsidRPr="00611C2D" w:rsidRDefault="00BB5190" w:rsidP="00611C2D">
            <w:pPr>
              <w:pStyle w:val="BodyText"/>
              <w:spacing w:after="120"/>
              <w:contextualSpacing/>
              <w:jc w:val="center"/>
              <w:rPr>
                <w:b/>
                <w:bCs/>
                <w:sz w:val="20"/>
              </w:rPr>
            </w:pPr>
            <w:r w:rsidRPr="00611C2D">
              <w:rPr>
                <w:b/>
                <w:bCs/>
                <w:sz w:val="20"/>
              </w:rPr>
              <w:t>Permit Number and Link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B2F9FB2" w14:textId="77777777" w:rsidR="00BB5190" w:rsidRPr="00611C2D" w:rsidRDefault="00BB5190" w:rsidP="00611C2D">
            <w:pPr>
              <w:pStyle w:val="BodyText"/>
              <w:spacing w:after="120"/>
              <w:contextualSpacing/>
              <w:jc w:val="center"/>
              <w:rPr>
                <w:b/>
                <w:bCs/>
                <w:sz w:val="20"/>
              </w:rPr>
            </w:pPr>
            <w:r w:rsidRPr="00611C2D">
              <w:rPr>
                <w:b/>
                <w:bCs/>
                <w:sz w:val="20"/>
              </w:rPr>
              <w:t>Effective Date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D0E345F" w14:textId="77777777" w:rsidR="00BB5190" w:rsidRPr="00611C2D" w:rsidRDefault="00BB5190" w:rsidP="00611C2D">
            <w:pPr>
              <w:pStyle w:val="BodyText"/>
              <w:spacing w:after="120"/>
              <w:contextualSpacing/>
              <w:jc w:val="center"/>
              <w:rPr>
                <w:b/>
                <w:bCs/>
                <w:sz w:val="20"/>
              </w:rPr>
            </w:pPr>
            <w:r w:rsidRPr="00611C2D">
              <w:rPr>
                <w:b/>
                <w:bCs/>
                <w:sz w:val="20"/>
              </w:rPr>
              <w:t>Expiration Date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4FC1002" w14:textId="7D94640F" w:rsidR="00BB5190" w:rsidRPr="00611C2D" w:rsidRDefault="00BB5190" w:rsidP="00611C2D">
            <w:pPr>
              <w:pStyle w:val="BodyText"/>
              <w:spacing w:after="120"/>
              <w:contextualSpacing/>
              <w:jc w:val="center"/>
              <w:rPr>
                <w:b/>
                <w:bCs/>
                <w:sz w:val="20"/>
              </w:rPr>
            </w:pPr>
            <w:r w:rsidRPr="00611C2D">
              <w:rPr>
                <w:b/>
                <w:bCs/>
                <w:sz w:val="20"/>
              </w:rPr>
              <w:t xml:space="preserve">Regulatory Review </w:t>
            </w:r>
            <w:r w:rsidR="00CA5660" w:rsidRPr="00611C2D">
              <w:rPr>
                <w:b/>
                <w:bCs/>
                <w:sz w:val="20"/>
              </w:rPr>
              <w:t>P</w:t>
            </w:r>
            <w:r w:rsidRPr="00611C2D">
              <w:rPr>
                <w:b/>
                <w:bCs/>
                <w:sz w:val="20"/>
              </w:rPr>
              <w:t>eriod</w:t>
            </w:r>
          </w:p>
        </w:tc>
      </w:tr>
      <w:tr w:rsidR="00BB5190" w:rsidRPr="00F72BD7" w14:paraId="5892936F" w14:textId="77777777" w:rsidTr="009559D8">
        <w:trPr>
          <w:trHeight w:val="3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419F0" w14:textId="77777777" w:rsidR="00BB5190" w:rsidRPr="00611C2D" w:rsidRDefault="00BB5190" w:rsidP="00611C2D">
            <w:pPr>
              <w:pStyle w:val="BodyText"/>
              <w:spacing w:after="120"/>
              <w:contextualSpacing/>
              <w:jc w:val="center"/>
              <w:rPr>
                <w:sz w:val="20"/>
              </w:rPr>
            </w:pPr>
            <w:r w:rsidRPr="00611C2D">
              <w:rPr>
                <w:sz w:val="20"/>
              </w:rPr>
              <w:t>Arizona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403F9F6" w14:textId="77777777" w:rsidR="00BB5190" w:rsidRPr="00611C2D" w:rsidRDefault="00D93F1C" w:rsidP="00611C2D">
            <w:pPr>
              <w:pStyle w:val="BodyText"/>
              <w:spacing w:after="120"/>
              <w:contextualSpacing/>
              <w:jc w:val="center"/>
              <w:rPr>
                <w:color w:val="4472C4" w:themeColor="accent1"/>
                <w:sz w:val="20"/>
              </w:rPr>
            </w:pPr>
            <w:hyperlink r:id="rId7" w:history="1">
              <w:r w:rsidR="00BB5190" w:rsidRPr="00611C2D">
                <w:rPr>
                  <w:rStyle w:val="Hyperlink"/>
                  <w:color w:val="4472C4" w:themeColor="accent1"/>
                  <w:sz w:val="20"/>
                </w:rPr>
                <w:t>AZG2020-001</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79909D0" w14:textId="77777777" w:rsidR="00BB5190" w:rsidRPr="00611C2D" w:rsidRDefault="00BB5190" w:rsidP="00611C2D">
            <w:pPr>
              <w:pStyle w:val="BodyText"/>
              <w:spacing w:after="120"/>
              <w:contextualSpacing/>
              <w:jc w:val="center"/>
              <w:rPr>
                <w:sz w:val="20"/>
              </w:rPr>
            </w:pPr>
            <w:r w:rsidRPr="00611C2D">
              <w:rPr>
                <w:sz w:val="20"/>
              </w:rPr>
              <w:t>7/1/2020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51A5A49" w14:textId="77777777" w:rsidR="00BB5190" w:rsidRPr="00611C2D" w:rsidRDefault="00BB5190" w:rsidP="00611C2D">
            <w:pPr>
              <w:pStyle w:val="BodyText"/>
              <w:spacing w:after="120"/>
              <w:contextualSpacing/>
              <w:jc w:val="center"/>
              <w:rPr>
                <w:sz w:val="20"/>
              </w:rPr>
            </w:pPr>
            <w:r w:rsidRPr="00611C2D">
              <w:rPr>
                <w:sz w:val="20"/>
              </w:rPr>
              <w:t>6/30/2025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F0687C0" w14:textId="77777777" w:rsidR="00BB5190" w:rsidRPr="00611C2D" w:rsidRDefault="00BB5190" w:rsidP="00611C2D">
            <w:pPr>
              <w:pStyle w:val="BodyText"/>
              <w:spacing w:after="120"/>
              <w:contextualSpacing/>
              <w:jc w:val="center"/>
              <w:rPr>
                <w:sz w:val="20"/>
              </w:rPr>
            </w:pPr>
            <w:r w:rsidRPr="00611C2D">
              <w:rPr>
                <w:sz w:val="20"/>
              </w:rPr>
              <w:t>30 days</w:t>
            </w:r>
          </w:p>
        </w:tc>
      </w:tr>
      <w:tr w:rsidR="00BB5190" w:rsidRPr="00F72BD7" w14:paraId="61277143" w14:textId="77777777" w:rsidTr="009559D8">
        <w:trPr>
          <w:trHeight w:val="332"/>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FC7E" w14:textId="27C59669" w:rsidR="00BB5190" w:rsidRPr="00611C2D" w:rsidRDefault="00BB5190" w:rsidP="00611C2D">
            <w:pPr>
              <w:pStyle w:val="BodyText"/>
              <w:spacing w:after="120"/>
              <w:contextualSpacing/>
              <w:jc w:val="center"/>
              <w:rPr>
                <w:sz w:val="20"/>
              </w:rPr>
            </w:pPr>
            <w:r w:rsidRPr="00611C2D">
              <w:rPr>
                <w:sz w:val="20"/>
              </w:rPr>
              <w:t>California</w:t>
            </w:r>
            <w:r w:rsidR="001E7876" w:rsidRPr="001E7876">
              <w:rPr>
                <w:sz w:val="20"/>
                <w:vertAlign w:val="superscript"/>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47992838" w14:textId="77777777" w:rsidR="00BB5190" w:rsidRPr="00611C2D" w:rsidRDefault="00D93F1C" w:rsidP="00611C2D">
            <w:pPr>
              <w:pStyle w:val="BodyText"/>
              <w:spacing w:after="120"/>
              <w:contextualSpacing/>
              <w:jc w:val="center"/>
              <w:rPr>
                <w:color w:val="4472C4" w:themeColor="accent1"/>
                <w:sz w:val="20"/>
              </w:rPr>
            </w:pPr>
            <w:hyperlink r:id="rId8" w:history="1">
              <w:r w:rsidR="00BB5190" w:rsidRPr="00611C2D">
                <w:rPr>
                  <w:rStyle w:val="Hyperlink"/>
                  <w:color w:val="4472C4" w:themeColor="accent1"/>
                  <w:sz w:val="20"/>
                </w:rPr>
                <w:t>2022-0057-DWQ</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9A8B9E5" w14:textId="77777777" w:rsidR="00BB5190" w:rsidRPr="00611C2D" w:rsidRDefault="00BB5190" w:rsidP="00611C2D">
            <w:pPr>
              <w:pStyle w:val="BodyText"/>
              <w:spacing w:after="120"/>
              <w:contextualSpacing/>
              <w:jc w:val="center"/>
              <w:rPr>
                <w:sz w:val="20"/>
              </w:rPr>
            </w:pPr>
            <w:r w:rsidRPr="00611C2D">
              <w:rPr>
                <w:sz w:val="20"/>
              </w:rPr>
              <w:t>9/1/2023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8F05FF5" w14:textId="77777777" w:rsidR="00BB5190" w:rsidRPr="00611C2D" w:rsidRDefault="00BB5190" w:rsidP="00611C2D">
            <w:pPr>
              <w:pStyle w:val="BodyText"/>
              <w:spacing w:after="120"/>
              <w:contextualSpacing/>
              <w:jc w:val="center"/>
              <w:rPr>
                <w:sz w:val="20"/>
              </w:rPr>
            </w:pPr>
            <w:r w:rsidRPr="00611C2D">
              <w:rPr>
                <w:sz w:val="20"/>
              </w:rPr>
              <w:t>8/31/2028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89E04B4" w14:textId="77777777" w:rsidR="00BB5190" w:rsidRPr="00611C2D" w:rsidRDefault="00BB5190" w:rsidP="00611C2D">
            <w:pPr>
              <w:pStyle w:val="BodyText"/>
              <w:spacing w:after="120"/>
              <w:contextualSpacing/>
              <w:jc w:val="center"/>
              <w:rPr>
                <w:sz w:val="20"/>
              </w:rPr>
            </w:pPr>
            <w:r w:rsidRPr="00611C2D">
              <w:rPr>
                <w:sz w:val="20"/>
              </w:rPr>
              <w:t>7 days</w:t>
            </w:r>
          </w:p>
        </w:tc>
      </w:tr>
      <w:tr w:rsidR="00BB5190" w:rsidRPr="00F72BD7" w14:paraId="50A903A8" w14:textId="77777777" w:rsidTr="009559D8">
        <w:trPr>
          <w:trHeight w:val="89"/>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0B8E" w14:textId="77777777" w:rsidR="00BB5190" w:rsidRPr="00611C2D" w:rsidRDefault="00BB5190" w:rsidP="00611C2D">
            <w:pPr>
              <w:pStyle w:val="BodyText"/>
              <w:spacing w:after="120"/>
              <w:contextualSpacing/>
              <w:jc w:val="center"/>
              <w:rPr>
                <w:sz w:val="20"/>
              </w:rPr>
            </w:pPr>
            <w:r w:rsidRPr="00611C2D">
              <w:rPr>
                <w:sz w:val="20"/>
              </w:rPr>
              <w:t>Colorado (Federal)</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19515DD" w14:textId="77777777" w:rsidR="00BB5190" w:rsidRPr="00611C2D" w:rsidRDefault="00D93F1C" w:rsidP="00611C2D">
            <w:pPr>
              <w:pStyle w:val="BodyText"/>
              <w:spacing w:after="120"/>
              <w:contextualSpacing/>
              <w:jc w:val="center"/>
              <w:rPr>
                <w:color w:val="4472C4" w:themeColor="accent1"/>
                <w:sz w:val="20"/>
              </w:rPr>
            </w:pPr>
            <w:hyperlink r:id="rId9" w:history="1">
              <w:r w:rsidR="00BB5190" w:rsidRPr="00611C2D">
                <w:rPr>
                  <w:rStyle w:val="Hyperlink"/>
                  <w:color w:val="4472C4" w:themeColor="accent1"/>
                  <w:sz w:val="20"/>
                </w:rPr>
                <w:t>COR10F000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F747982" w14:textId="77777777" w:rsidR="00BB5190" w:rsidRPr="00611C2D" w:rsidRDefault="00BB5190" w:rsidP="00611C2D">
            <w:pPr>
              <w:pStyle w:val="BodyText"/>
              <w:spacing w:after="120"/>
              <w:contextualSpacing/>
              <w:jc w:val="center"/>
              <w:rPr>
                <w:sz w:val="20"/>
              </w:rPr>
            </w:pPr>
            <w:r w:rsidRPr="00611C2D">
              <w:rPr>
                <w:sz w:val="20"/>
              </w:rPr>
              <w:t>2/17/2022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26628DF" w14:textId="77777777" w:rsidR="00BB5190" w:rsidRPr="00611C2D" w:rsidRDefault="00BB5190" w:rsidP="00611C2D">
            <w:pPr>
              <w:pStyle w:val="BodyText"/>
              <w:spacing w:after="120"/>
              <w:contextualSpacing/>
              <w:jc w:val="center"/>
              <w:rPr>
                <w:sz w:val="20"/>
              </w:rPr>
            </w:pPr>
            <w:r w:rsidRPr="00611C2D">
              <w:rPr>
                <w:sz w:val="20"/>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43AD924" w14:textId="77777777" w:rsidR="00BB5190" w:rsidRPr="00611C2D" w:rsidRDefault="00BB5190" w:rsidP="00611C2D">
            <w:pPr>
              <w:pStyle w:val="BodyText"/>
              <w:spacing w:after="120"/>
              <w:contextualSpacing/>
              <w:jc w:val="center"/>
              <w:rPr>
                <w:sz w:val="20"/>
              </w:rPr>
            </w:pPr>
            <w:r w:rsidRPr="00611C2D">
              <w:rPr>
                <w:sz w:val="20"/>
              </w:rPr>
              <w:t>14 days</w:t>
            </w:r>
          </w:p>
        </w:tc>
      </w:tr>
      <w:tr w:rsidR="00BB5190" w:rsidRPr="00F72BD7" w14:paraId="234B7292" w14:textId="77777777" w:rsidTr="009559D8">
        <w:trPr>
          <w:trHeight w:val="116"/>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E2C1A" w14:textId="77777777" w:rsidR="00BB5190" w:rsidRPr="00611C2D" w:rsidRDefault="00BB5190" w:rsidP="00611C2D">
            <w:pPr>
              <w:pStyle w:val="BodyText"/>
              <w:spacing w:after="120"/>
              <w:contextualSpacing/>
              <w:jc w:val="center"/>
              <w:rPr>
                <w:sz w:val="20"/>
              </w:rPr>
            </w:pPr>
            <w:r w:rsidRPr="00611C2D">
              <w:rPr>
                <w:sz w:val="20"/>
              </w:rPr>
              <w:t>Colorado (Other)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ED1C" w14:textId="77777777" w:rsidR="00BB5190" w:rsidRPr="00611C2D" w:rsidRDefault="00D93F1C" w:rsidP="00611C2D">
            <w:pPr>
              <w:pStyle w:val="BodyText"/>
              <w:spacing w:after="120"/>
              <w:contextualSpacing/>
              <w:jc w:val="center"/>
              <w:rPr>
                <w:color w:val="4472C4" w:themeColor="accent1"/>
                <w:sz w:val="20"/>
              </w:rPr>
            </w:pPr>
            <w:hyperlink r:id="rId10" w:history="1">
              <w:r w:rsidR="00BB5190" w:rsidRPr="00611C2D">
                <w:rPr>
                  <w:rStyle w:val="Hyperlink"/>
                  <w:color w:val="4472C4" w:themeColor="accent1"/>
                  <w:sz w:val="20"/>
                </w:rPr>
                <w:t>COR400000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240B3B31" w14:textId="77777777" w:rsidR="00BB5190" w:rsidRPr="00611C2D" w:rsidRDefault="00BB5190" w:rsidP="00611C2D">
            <w:pPr>
              <w:pStyle w:val="BodyText"/>
              <w:spacing w:after="120"/>
              <w:contextualSpacing/>
              <w:jc w:val="center"/>
              <w:rPr>
                <w:sz w:val="20"/>
              </w:rPr>
            </w:pPr>
            <w:r w:rsidRPr="00611C2D">
              <w:rPr>
                <w:sz w:val="20"/>
              </w:rPr>
              <w:t>4/1/2024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DEA8F8E" w14:textId="77777777" w:rsidR="00BB5190" w:rsidRPr="00611C2D" w:rsidRDefault="00BB5190" w:rsidP="00611C2D">
            <w:pPr>
              <w:pStyle w:val="BodyText"/>
              <w:spacing w:after="120"/>
              <w:contextualSpacing/>
              <w:jc w:val="center"/>
              <w:rPr>
                <w:sz w:val="20"/>
              </w:rPr>
            </w:pPr>
            <w:r w:rsidRPr="00611C2D">
              <w:rPr>
                <w:sz w:val="20"/>
              </w:rPr>
              <w:t>03/31/2029</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A9222BD" w14:textId="77777777" w:rsidR="00BB5190" w:rsidRPr="00611C2D" w:rsidRDefault="00BB5190" w:rsidP="00611C2D">
            <w:pPr>
              <w:pStyle w:val="BodyText"/>
              <w:spacing w:after="120"/>
              <w:contextualSpacing/>
              <w:jc w:val="center"/>
              <w:rPr>
                <w:sz w:val="20"/>
              </w:rPr>
            </w:pPr>
            <w:r w:rsidRPr="00611C2D">
              <w:rPr>
                <w:sz w:val="20"/>
              </w:rPr>
              <w:t>10 days</w:t>
            </w:r>
          </w:p>
        </w:tc>
      </w:tr>
      <w:tr w:rsidR="00BB5190" w:rsidRPr="00F72BD7" w14:paraId="786E6187" w14:textId="77777777" w:rsidTr="009559D8">
        <w:trPr>
          <w:trHeight w:val="19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71093" w14:textId="77777777" w:rsidR="00BB5190" w:rsidRPr="00611C2D" w:rsidRDefault="00BB5190" w:rsidP="00611C2D">
            <w:pPr>
              <w:pStyle w:val="BodyText"/>
              <w:spacing w:after="120"/>
              <w:contextualSpacing/>
              <w:jc w:val="center"/>
              <w:rPr>
                <w:sz w:val="20"/>
              </w:rPr>
            </w:pPr>
            <w:r w:rsidRPr="00611C2D">
              <w:rPr>
                <w:sz w:val="20"/>
              </w:rPr>
              <w:t>Hawaii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2C3A076" w14:textId="77777777" w:rsidR="00BB5190" w:rsidRPr="00611C2D" w:rsidRDefault="00D93F1C" w:rsidP="00611C2D">
            <w:pPr>
              <w:pStyle w:val="BodyText"/>
              <w:spacing w:after="120"/>
              <w:contextualSpacing/>
              <w:jc w:val="center"/>
              <w:rPr>
                <w:color w:val="4472C4" w:themeColor="accent1"/>
                <w:sz w:val="20"/>
              </w:rPr>
            </w:pPr>
            <w:hyperlink r:id="rId11" w:history="1">
              <w:r w:rsidR="00BB5190" w:rsidRPr="00611C2D">
                <w:rPr>
                  <w:rStyle w:val="Hyperlink"/>
                  <w:color w:val="4472C4" w:themeColor="accent1"/>
                  <w:sz w:val="20"/>
                </w:rPr>
                <w:t>HAR 11-55, Appendix C</w:t>
              </w:r>
            </w:hyperlink>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5EF8629" w14:textId="77777777" w:rsidR="00BB5190" w:rsidRPr="00611C2D" w:rsidRDefault="00BB5190" w:rsidP="00611C2D">
            <w:pPr>
              <w:pStyle w:val="BodyText"/>
              <w:spacing w:after="120"/>
              <w:contextualSpacing/>
              <w:jc w:val="center"/>
              <w:rPr>
                <w:sz w:val="20"/>
              </w:rPr>
            </w:pPr>
            <w:r w:rsidRPr="00611C2D">
              <w:rPr>
                <w:sz w:val="20"/>
              </w:rPr>
              <w:t>1/29/2024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0FAD50D" w14:textId="77777777" w:rsidR="00BB5190" w:rsidRPr="00611C2D" w:rsidRDefault="00BB5190" w:rsidP="00611C2D">
            <w:pPr>
              <w:pStyle w:val="BodyText"/>
              <w:spacing w:after="120"/>
              <w:contextualSpacing/>
              <w:jc w:val="center"/>
              <w:rPr>
                <w:sz w:val="20"/>
              </w:rPr>
            </w:pPr>
            <w:r w:rsidRPr="00611C2D">
              <w:rPr>
                <w:sz w:val="20"/>
              </w:rPr>
              <w:t>1/29/2029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1CBF478" w14:textId="77777777" w:rsidR="00BB5190" w:rsidRPr="00611C2D" w:rsidRDefault="00BB5190" w:rsidP="00611C2D">
            <w:pPr>
              <w:pStyle w:val="BodyText"/>
              <w:spacing w:after="120"/>
              <w:contextualSpacing/>
              <w:jc w:val="center"/>
              <w:rPr>
                <w:sz w:val="20"/>
              </w:rPr>
            </w:pPr>
            <w:r w:rsidRPr="00611C2D">
              <w:rPr>
                <w:sz w:val="20"/>
              </w:rPr>
              <w:t>10 days</w:t>
            </w:r>
          </w:p>
        </w:tc>
      </w:tr>
      <w:tr w:rsidR="00BB5190" w:rsidRPr="00F72BD7" w14:paraId="50590401" w14:textId="77777777" w:rsidTr="009559D8">
        <w:trPr>
          <w:trHeight w:val="27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7DC1" w14:textId="77777777" w:rsidR="00BB5190" w:rsidRPr="00611C2D" w:rsidRDefault="00BB5190" w:rsidP="00611C2D">
            <w:pPr>
              <w:pStyle w:val="BodyText"/>
              <w:spacing w:after="120"/>
              <w:contextualSpacing/>
              <w:jc w:val="center"/>
              <w:rPr>
                <w:sz w:val="20"/>
              </w:rPr>
            </w:pPr>
            <w:r w:rsidRPr="00611C2D">
              <w:rPr>
                <w:sz w:val="20"/>
              </w:rPr>
              <w:t>Indian Country</w:t>
            </w:r>
          </w:p>
        </w:tc>
        <w:tc>
          <w:tcPr>
            <w:tcW w:w="1800" w:type="dxa"/>
            <w:tcBorders>
              <w:top w:val="single" w:sz="4" w:space="0" w:color="auto"/>
              <w:left w:val="nil"/>
              <w:bottom w:val="single" w:sz="4" w:space="0" w:color="auto"/>
              <w:right w:val="single" w:sz="4" w:space="0" w:color="auto"/>
            </w:tcBorders>
            <w:shd w:val="clear" w:color="auto" w:fill="auto"/>
            <w:vAlign w:val="center"/>
          </w:tcPr>
          <w:p w14:paraId="5105212A" w14:textId="6A2BFD8B" w:rsidR="00BB5190" w:rsidRPr="00611C2D" w:rsidRDefault="00D93F1C" w:rsidP="00611C2D">
            <w:pPr>
              <w:pStyle w:val="BodyText"/>
              <w:spacing w:after="120"/>
              <w:contextualSpacing/>
              <w:jc w:val="center"/>
              <w:rPr>
                <w:color w:val="4472C4" w:themeColor="accent1"/>
                <w:sz w:val="20"/>
              </w:rPr>
            </w:pPr>
            <w:hyperlink r:id="rId12" w:anchor="2022cgp" w:history="1">
              <w:r w:rsidR="00BB5190" w:rsidRPr="00611C2D">
                <w:rPr>
                  <w:rStyle w:val="Hyperlink"/>
                  <w:color w:val="4472C4" w:themeColor="accent1"/>
                  <w:sz w:val="20"/>
                </w:rPr>
                <w:t>XXR10I000</w:t>
              </w:r>
            </w:hyperlink>
          </w:p>
        </w:tc>
        <w:tc>
          <w:tcPr>
            <w:tcW w:w="2250" w:type="dxa"/>
            <w:tcBorders>
              <w:top w:val="single" w:sz="4" w:space="0" w:color="auto"/>
              <w:left w:val="nil"/>
              <w:bottom w:val="single" w:sz="4" w:space="0" w:color="auto"/>
              <w:right w:val="single" w:sz="4" w:space="0" w:color="auto"/>
            </w:tcBorders>
            <w:shd w:val="clear" w:color="auto" w:fill="auto"/>
            <w:vAlign w:val="center"/>
          </w:tcPr>
          <w:p w14:paraId="4CD6301C" w14:textId="77777777" w:rsidR="00BB5190" w:rsidRPr="00611C2D" w:rsidRDefault="00BB5190" w:rsidP="00611C2D">
            <w:pPr>
              <w:pStyle w:val="BodyText"/>
              <w:spacing w:after="120"/>
              <w:contextualSpacing/>
              <w:jc w:val="center"/>
              <w:rPr>
                <w:sz w:val="20"/>
              </w:rPr>
            </w:pPr>
            <w:r w:rsidRPr="00611C2D">
              <w:rPr>
                <w:sz w:val="20"/>
              </w:rPr>
              <w:t>2/17/2022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007292" w14:textId="77777777" w:rsidR="00BB5190" w:rsidRPr="00611C2D" w:rsidRDefault="00BB5190" w:rsidP="00611C2D">
            <w:pPr>
              <w:pStyle w:val="BodyText"/>
              <w:spacing w:after="120"/>
              <w:contextualSpacing/>
              <w:jc w:val="center"/>
              <w:rPr>
                <w:sz w:val="20"/>
              </w:rPr>
            </w:pPr>
            <w:r w:rsidRPr="00611C2D">
              <w:rPr>
                <w:sz w:val="20"/>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3C38210F" w14:textId="77777777" w:rsidR="00BB5190" w:rsidRPr="00611C2D" w:rsidRDefault="00BB5190" w:rsidP="00611C2D">
            <w:pPr>
              <w:pStyle w:val="BodyText"/>
              <w:spacing w:after="120"/>
              <w:contextualSpacing/>
              <w:jc w:val="center"/>
              <w:rPr>
                <w:sz w:val="20"/>
              </w:rPr>
            </w:pPr>
            <w:r w:rsidRPr="00611C2D">
              <w:rPr>
                <w:sz w:val="20"/>
              </w:rPr>
              <w:t>14 days</w:t>
            </w:r>
          </w:p>
        </w:tc>
      </w:tr>
      <w:tr w:rsidR="00BB5190" w:rsidRPr="00F72BD7" w14:paraId="61BE2C37" w14:textId="77777777" w:rsidTr="009559D8">
        <w:trPr>
          <w:trHeight w:val="8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B861D" w14:textId="77777777" w:rsidR="00BB5190" w:rsidRPr="00611C2D" w:rsidRDefault="00BB5190" w:rsidP="00611C2D">
            <w:pPr>
              <w:pStyle w:val="BodyText"/>
              <w:spacing w:after="120"/>
              <w:contextualSpacing/>
              <w:jc w:val="center"/>
              <w:rPr>
                <w:sz w:val="20"/>
              </w:rPr>
            </w:pPr>
            <w:r w:rsidRPr="00611C2D">
              <w:rPr>
                <w:sz w:val="20"/>
              </w:rPr>
              <w:t>Kansas</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954C1A8" w14:textId="77777777" w:rsidR="00BB5190" w:rsidRPr="00611C2D" w:rsidRDefault="00D93F1C" w:rsidP="00611C2D">
            <w:pPr>
              <w:pStyle w:val="BodyText"/>
              <w:spacing w:after="120"/>
              <w:contextualSpacing/>
              <w:jc w:val="center"/>
              <w:rPr>
                <w:color w:val="4472C4" w:themeColor="accent1"/>
                <w:sz w:val="20"/>
              </w:rPr>
            </w:pPr>
            <w:hyperlink r:id="rId13" w:history="1">
              <w:r w:rsidR="00BB5190" w:rsidRPr="00611C2D">
                <w:rPr>
                  <w:rStyle w:val="Hyperlink"/>
                  <w:color w:val="4472C4" w:themeColor="accent1"/>
                  <w:sz w:val="20"/>
                </w:rPr>
                <w:t>S-MCST-2208-1</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3960993" w14:textId="77777777" w:rsidR="00BB5190" w:rsidRPr="00611C2D" w:rsidRDefault="00BB5190" w:rsidP="00611C2D">
            <w:pPr>
              <w:pStyle w:val="BodyText"/>
              <w:spacing w:after="120"/>
              <w:contextualSpacing/>
              <w:jc w:val="center"/>
              <w:rPr>
                <w:sz w:val="20"/>
              </w:rPr>
            </w:pPr>
            <w:r w:rsidRPr="00611C2D">
              <w:rPr>
                <w:sz w:val="20"/>
              </w:rPr>
              <w:t>12/1/2021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DFA1815" w14:textId="77777777" w:rsidR="00BB5190" w:rsidRPr="00611C2D" w:rsidRDefault="00BB5190" w:rsidP="00611C2D">
            <w:pPr>
              <w:pStyle w:val="BodyText"/>
              <w:spacing w:after="120"/>
              <w:contextualSpacing/>
              <w:jc w:val="center"/>
              <w:rPr>
                <w:sz w:val="20"/>
              </w:rPr>
            </w:pPr>
            <w:r w:rsidRPr="00611C2D">
              <w:rPr>
                <w:sz w:val="20"/>
              </w:rPr>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E7AA2A4" w14:textId="77777777" w:rsidR="00BB5190" w:rsidRPr="00611C2D" w:rsidRDefault="00BB5190" w:rsidP="00611C2D">
            <w:pPr>
              <w:pStyle w:val="BodyText"/>
              <w:spacing w:after="120"/>
              <w:contextualSpacing/>
              <w:jc w:val="center"/>
              <w:rPr>
                <w:sz w:val="20"/>
              </w:rPr>
            </w:pPr>
            <w:r w:rsidRPr="00611C2D">
              <w:rPr>
                <w:sz w:val="20"/>
              </w:rPr>
              <w:t>60 days</w:t>
            </w:r>
          </w:p>
        </w:tc>
      </w:tr>
      <w:tr w:rsidR="00BB5190" w:rsidRPr="00F72BD7" w14:paraId="299979A1" w14:textId="77777777" w:rsidTr="009559D8">
        <w:trPr>
          <w:trHeight w:val="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3347D" w14:textId="77777777" w:rsidR="00BB5190" w:rsidRPr="00611C2D" w:rsidRDefault="00BB5190" w:rsidP="00611C2D">
            <w:pPr>
              <w:pStyle w:val="BodyText"/>
              <w:spacing w:after="120"/>
              <w:contextualSpacing/>
              <w:jc w:val="center"/>
              <w:rPr>
                <w:sz w:val="20"/>
              </w:rPr>
            </w:pPr>
            <w:r w:rsidRPr="00611C2D">
              <w:rPr>
                <w:sz w:val="20"/>
              </w:rPr>
              <w:t>Nebraska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0F17894" w14:textId="77777777" w:rsidR="00BB5190" w:rsidRPr="00611C2D" w:rsidRDefault="00D93F1C" w:rsidP="00611C2D">
            <w:pPr>
              <w:pStyle w:val="BodyText"/>
              <w:spacing w:after="120"/>
              <w:contextualSpacing/>
              <w:jc w:val="center"/>
              <w:rPr>
                <w:color w:val="4472C4" w:themeColor="accent1"/>
                <w:sz w:val="20"/>
              </w:rPr>
            </w:pPr>
            <w:hyperlink r:id="rId14" w:history="1">
              <w:r w:rsidR="00BB5190" w:rsidRPr="00611C2D">
                <w:rPr>
                  <w:rStyle w:val="Hyperlink"/>
                  <w:color w:val="4472C4" w:themeColor="accent1"/>
                  <w:sz w:val="20"/>
                </w:rPr>
                <w:t>NER210000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AAB7F17" w14:textId="77777777" w:rsidR="00BB5190" w:rsidRPr="00611C2D" w:rsidRDefault="00BB5190" w:rsidP="00611C2D">
            <w:pPr>
              <w:pStyle w:val="BodyText"/>
              <w:spacing w:after="120"/>
              <w:contextualSpacing/>
              <w:jc w:val="center"/>
              <w:rPr>
                <w:sz w:val="20"/>
              </w:rPr>
            </w:pPr>
            <w:r w:rsidRPr="00611C2D">
              <w:rPr>
                <w:sz w:val="20"/>
              </w:rPr>
              <w:t>12/1/2021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037471C" w14:textId="77777777" w:rsidR="00BB5190" w:rsidRPr="00611C2D" w:rsidRDefault="00BB5190" w:rsidP="00611C2D">
            <w:pPr>
              <w:pStyle w:val="BodyText"/>
              <w:spacing w:after="120"/>
              <w:contextualSpacing/>
              <w:jc w:val="center"/>
              <w:rPr>
                <w:sz w:val="20"/>
              </w:rPr>
            </w:pPr>
            <w:r w:rsidRPr="00611C2D">
              <w:rPr>
                <w:sz w:val="20"/>
              </w:rPr>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3AFC807" w14:textId="77777777" w:rsidR="00BB5190" w:rsidRPr="00611C2D" w:rsidRDefault="00BB5190" w:rsidP="00611C2D">
            <w:pPr>
              <w:pStyle w:val="BodyText"/>
              <w:spacing w:after="120"/>
              <w:contextualSpacing/>
              <w:jc w:val="center"/>
              <w:rPr>
                <w:sz w:val="20"/>
              </w:rPr>
            </w:pPr>
            <w:r w:rsidRPr="00611C2D">
              <w:rPr>
                <w:sz w:val="20"/>
              </w:rPr>
              <w:t>7 days</w:t>
            </w:r>
          </w:p>
        </w:tc>
      </w:tr>
      <w:tr w:rsidR="00BB5190" w:rsidRPr="00F72BD7" w14:paraId="62FD64C5" w14:textId="77777777" w:rsidTr="009559D8">
        <w:trPr>
          <w:trHeight w:val="251"/>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BDB18" w14:textId="77777777" w:rsidR="00BB5190" w:rsidRPr="00611C2D" w:rsidRDefault="00BB5190" w:rsidP="00611C2D">
            <w:pPr>
              <w:pStyle w:val="BodyText"/>
              <w:spacing w:after="120"/>
              <w:contextualSpacing/>
              <w:jc w:val="center"/>
              <w:rPr>
                <w:sz w:val="20"/>
              </w:rPr>
            </w:pPr>
            <w:r w:rsidRPr="00611C2D">
              <w:rPr>
                <w:sz w:val="20"/>
              </w:rPr>
              <w:t>Nevada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0711E1B" w14:textId="77777777" w:rsidR="00BB5190" w:rsidRPr="00611C2D" w:rsidRDefault="00D93F1C" w:rsidP="00611C2D">
            <w:pPr>
              <w:pStyle w:val="BodyText"/>
              <w:spacing w:after="120"/>
              <w:contextualSpacing/>
              <w:jc w:val="center"/>
              <w:rPr>
                <w:color w:val="4472C4" w:themeColor="accent1"/>
                <w:sz w:val="20"/>
              </w:rPr>
            </w:pPr>
            <w:hyperlink r:id="rId15" w:history="1">
              <w:r w:rsidR="00BB5190" w:rsidRPr="00611C2D">
                <w:rPr>
                  <w:rStyle w:val="Hyperlink"/>
                  <w:color w:val="4472C4" w:themeColor="accent1"/>
                  <w:sz w:val="20"/>
                </w:rPr>
                <w:t>NVR100000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E9CCB58" w14:textId="77777777" w:rsidR="00BB5190" w:rsidRPr="00611C2D" w:rsidRDefault="00BB5190" w:rsidP="00611C2D">
            <w:pPr>
              <w:pStyle w:val="BodyText"/>
              <w:spacing w:after="120"/>
              <w:contextualSpacing/>
              <w:jc w:val="center"/>
              <w:rPr>
                <w:sz w:val="20"/>
              </w:rPr>
            </w:pPr>
            <w:r w:rsidRPr="00611C2D">
              <w:rPr>
                <w:sz w:val="20"/>
              </w:rPr>
              <w:t>1/5/2015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031F17E" w14:textId="33186450" w:rsidR="00BB5190" w:rsidRPr="00611C2D" w:rsidRDefault="00BB5190" w:rsidP="00611C2D">
            <w:pPr>
              <w:pStyle w:val="BodyText"/>
              <w:spacing w:after="120"/>
              <w:contextualSpacing/>
              <w:jc w:val="center"/>
              <w:rPr>
                <w:sz w:val="20"/>
              </w:rPr>
            </w:pPr>
            <w:r w:rsidRPr="00611C2D">
              <w:rPr>
                <w:sz w:val="20"/>
              </w:rPr>
              <w:t>1/4/2020</w:t>
            </w:r>
            <w:r w:rsidRPr="00611C2D">
              <w:rPr>
                <w:sz w:val="20"/>
                <w:vertAlign w:val="superscript"/>
              </w:rPr>
              <w:t>(</w:t>
            </w:r>
            <w:r w:rsidR="001E7876">
              <w:rPr>
                <w:sz w:val="20"/>
                <w:vertAlign w:val="superscript"/>
              </w:rPr>
              <w:t>2</w:t>
            </w:r>
            <w:r w:rsidRPr="00611C2D">
              <w:rPr>
                <w:sz w:val="20"/>
                <w:vertAlign w:val="superscript"/>
              </w:rPr>
              <w: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70A58CB" w14:textId="77777777" w:rsidR="00BB5190" w:rsidRPr="00611C2D" w:rsidRDefault="00BB5190" w:rsidP="00611C2D">
            <w:pPr>
              <w:pStyle w:val="BodyText"/>
              <w:spacing w:after="120"/>
              <w:contextualSpacing/>
              <w:jc w:val="center"/>
              <w:rPr>
                <w:sz w:val="20"/>
              </w:rPr>
            </w:pPr>
            <w:r w:rsidRPr="00611C2D">
              <w:rPr>
                <w:sz w:val="20"/>
              </w:rPr>
              <w:t>14 days</w:t>
            </w:r>
          </w:p>
        </w:tc>
      </w:tr>
      <w:tr w:rsidR="00BB5190" w:rsidRPr="00F72BD7" w14:paraId="23B70E1B" w14:textId="77777777" w:rsidTr="009559D8">
        <w:trPr>
          <w:trHeight w:val="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D1AE" w14:textId="77777777" w:rsidR="00BB5190" w:rsidRPr="00611C2D" w:rsidRDefault="00BB5190" w:rsidP="00611C2D">
            <w:pPr>
              <w:pStyle w:val="BodyText"/>
              <w:spacing w:after="120"/>
              <w:contextualSpacing/>
              <w:jc w:val="center"/>
              <w:rPr>
                <w:sz w:val="20"/>
              </w:rPr>
            </w:pPr>
            <w:r w:rsidRPr="00611C2D">
              <w:rPr>
                <w:sz w:val="20"/>
              </w:rPr>
              <w:t>New Mexico</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FEBBA35" w14:textId="77777777" w:rsidR="00BB5190" w:rsidRPr="00611C2D" w:rsidRDefault="00D93F1C" w:rsidP="00611C2D">
            <w:pPr>
              <w:pStyle w:val="BodyText"/>
              <w:spacing w:after="120"/>
              <w:contextualSpacing/>
              <w:jc w:val="center"/>
              <w:rPr>
                <w:color w:val="4472C4" w:themeColor="accent1"/>
                <w:sz w:val="20"/>
              </w:rPr>
            </w:pPr>
            <w:hyperlink r:id="rId16" w:history="1">
              <w:r w:rsidR="00BB5190" w:rsidRPr="00611C2D">
                <w:rPr>
                  <w:rStyle w:val="Hyperlink"/>
                  <w:color w:val="4472C4" w:themeColor="accent1"/>
                  <w:sz w:val="20"/>
                </w:rPr>
                <w:t>NMR100000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1534D5D" w14:textId="77777777" w:rsidR="00BB5190" w:rsidRPr="00611C2D" w:rsidRDefault="00BB5190" w:rsidP="00611C2D">
            <w:pPr>
              <w:pStyle w:val="BodyText"/>
              <w:spacing w:after="120"/>
              <w:contextualSpacing/>
              <w:jc w:val="center"/>
              <w:rPr>
                <w:sz w:val="20"/>
              </w:rPr>
            </w:pPr>
            <w:r w:rsidRPr="00611C2D">
              <w:rPr>
                <w:sz w:val="20"/>
              </w:rPr>
              <w:t>2/17/2022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3CB8E8C" w14:textId="77777777" w:rsidR="00BB5190" w:rsidRPr="00611C2D" w:rsidRDefault="00BB5190" w:rsidP="00611C2D">
            <w:pPr>
              <w:pStyle w:val="BodyText"/>
              <w:spacing w:after="120"/>
              <w:contextualSpacing/>
              <w:jc w:val="center"/>
              <w:rPr>
                <w:sz w:val="20"/>
              </w:rPr>
            </w:pPr>
            <w:r w:rsidRPr="00611C2D">
              <w:rPr>
                <w:sz w:val="20"/>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3287FAD" w14:textId="77777777" w:rsidR="00BB5190" w:rsidRPr="00611C2D" w:rsidRDefault="00BB5190" w:rsidP="00611C2D">
            <w:pPr>
              <w:pStyle w:val="BodyText"/>
              <w:spacing w:after="120"/>
              <w:contextualSpacing/>
              <w:jc w:val="center"/>
              <w:rPr>
                <w:sz w:val="20"/>
              </w:rPr>
            </w:pPr>
            <w:r w:rsidRPr="00611C2D">
              <w:rPr>
                <w:sz w:val="20"/>
              </w:rPr>
              <w:t>14 days</w:t>
            </w:r>
          </w:p>
        </w:tc>
      </w:tr>
      <w:tr w:rsidR="00BB5190" w:rsidRPr="00F72BD7" w14:paraId="1863A580" w14:textId="77777777" w:rsidTr="009559D8">
        <w:trPr>
          <w:trHeight w:val="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D7C2" w14:textId="77777777" w:rsidR="00BB5190" w:rsidRPr="00611C2D" w:rsidRDefault="00BB5190" w:rsidP="00611C2D">
            <w:pPr>
              <w:pStyle w:val="BodyText"/>
              <w:spacing w:after="120"/>
              <w:contextualSpacing/>
              <w:jc w:val="center"/>
              <w:rPr>
                <w:sz w:val="20"/>
              </w:rPr>
            </w:pPr>
            <w:r w:rsidRPr="00611C2D">
              <w:rPr>
                <w:sz w:val="20"/>
              </w:rPr>
              <w:t>North Dakota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EF5FEED" w14:textId="77777777" w:rsidR="00BB5190" w:rsidRPr="00611C2D" w:rsidRDefault="00D93F1C" w:rsidP="00611C2D">
            <w:pPr>
              <w:pStyle w:val="BodyText"/>
              <w:spacing w:after="120"/>
              <w:contextualSpacing/>
              <w:jc w:val="center"/>
              <w:rPr>
                <w:color w:val="4472C4" w:themeColor="accent1"/>
                <w:sz w:val="20"/>
              </w:rPr>
            </w:pPr>
            <w:hyperlink r:id="rId17" w:history="1">
              <w:r w:rsidR="00BB5190" w:rsidRPr="00611C2D">
                <w:rPr>
                  <w:rStyle w:val="Hyperlink"/>
                  <w:color w:val="4472C4" w:themeColor="accent1"/>
                  <w:sz w:val="20"/>
                </w:rPr>
                <w:t>NDR11-0000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0E418E96" w14:textId="77777777" w:rsidR="00BB5190" w:rsidRPr="00611C2D" w:rsidRDefault="00BB5190" w:rsidP="00611C2D">
            <w:pPr>
              <w:pStyle w:val="BodyText"/>
              <w:spacing w:after="120"/>
              <w:contextualSpacing/>
              <w:jc w:val="center"/>
              <w:rPr>
                <w:sz w:val="20"/>
              </w:rPr>
            </w:pPr>
            <w:r w:rsidRPr="00611C2D">
              <w:rPr>
                <w:sz w:val="20"/>
              </w:rPr>
              <w:t>4/1/2020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407C4B9" w14:textId="77777777" w:rsidR="00BB5190" w:rsidRPr="00611C2D" w:rsidRDefault="00BB5190" w:rsidP="00611C2D">
            <w:pPr>
              <w:pStyle w:val="BodyText"/>
              <w:spacing w:after="120"/>
              <w:contextualSpacing/>
              <w:jc w:val="center"/>
              <w:rPr>
                <w:sz w:val="20"/>
              </w:rPr>
            </w:pPr>
            <w:r w:rsidRPr="00611C2D">
              <w:rPr>
                <w:sz w:val="20"/>
              </w:rPr>
              <w:t>3/31/2025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9129179" w14:textId="77777777" w:rsidR="00BB5190" w:rsidRPr="00611C2D" w:rsidRDefault="00BB5190" w:rsidP="00611C2D">
            <w:pPr>
              <w:pStyle w:val="BodyText"/>
              <w:spacing w:after="120"/>
              <w:contextualSpacing/>
              <w:jc w:val="center"/>
              <w:rPr>
                <w:sz w:val="20"/>
              </w:rPr>
            </w:pPr>
            <w:r w:rsidRPr="00611C2D">
              <w:rPr>
                <w:sz w:val="20"/>
              </w:rPr>
              <w:t>7 days</w:t>
            </w:r>
          </w:p>
        </w:tc>
      </w:tr>
      <w:tr w:rsidR="00BB5190" w:rsidRPr="00F72BD7" w14:paraId="211F3D60" w14:textId="77777777" w:rsidTr="009559D8">
        <w:trPr>
          <w:trHeight w:val="30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F179" w14:textId="77777777" w:rsidR="00BB5190" w:rsidRPr="00611C2D" w:rsidRDefault="00BB5190" w:rsidP="00611C2D">
            <w:pPr>
              <w:pStyle w:val="BodyText"/>
              <w:spacing w:after="120"/>
              <w:contextualSpacing/>
              <w:jc w:val="center"/>
              <w:rPr>
                <w:sz w:val="20"/>
              </w:rPr>
            </w:pPr>
            <w:r w:rsidRPr="00611C2D">
              <w:rPr>
                <w:sz w:val="20"/>
              </w:rPr>
              <w:t>Oklahoma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7CC7DDC" w14:textId="77777777" w:rsidR="00BB5190" w:rsidRPr="00611C2D" w:rsidRDefault="00D93F1C" w:rsidP="00611C2D">
            <w:pPr>
              <w:pStyle w:val="BodyText"/>
              <w:spacing w:after="120"/>
              <w:contextualSpacing/>
              <w:jc w:val="center"/>
              <w:rPr>
                <w:color w:val="4472C4" w:themeColor="accent1"/>
                <w:sz w:val="20"/>
              </w:rPr>
            </w:pPr>
            <w:hyperlink r:id="rId18" w:history="1">
              <w:r w:rsidR="00BB5190" w:rsidRPr="00611C2D">
                <w:rPr>
                  <w:rStyle w:val="Hyperlink"/>
                  <w:color w:val="4472C4" w:themeColor="accent1"/>
                  <w:sz w:val="20"/>
                </w:rPr>
                <w:t>OKR10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B051EAA" w14:textId="77777777" w:rsidR="00BB5190" w:rsidRPr="00611C2D" w:rsidRDefault="00BB5190" w:rsidP="00611C2D">
            <w:pPr>
              <w:pStyle w:val="BodyText"/>
              <w:spacing w:after="120"/>
              <w:contextualSpacing/>
              <w:jc w:val="center"/>
              <w:rPr>
                <w:sz w:val="20"/>
              </w:rPr>
            </w:pPr>
            <w:r w:rsidRPr="00611C2D">
              <w:rPr>
                <w:sz w:val="20"/>
              </w:rPr>
              <w:t>10/18/2022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E762D03" w14:textId="77777777" w:rsidR="00BB5190" w:rsidRPr="00611C2D" w:rsidRDefault="00BB5190" w:rsidP="00611C2D">
            <w:pPr>
              <w:pStyle w:val="BodyText"/>
              <w:spacing w:after="120"/>
              <w:contextualSpacing/>
              <w:jc w:val="center"/>
              <w:rPr>
                <w:sz w:val="20"/>
              </w:rPr>
            </w:pPr>
            <w:r w:rsidRPr="00611C2D">
              <w:rPr>
                <w:sz w:val="20"/>
              </w:rPr>
              <w:t>10/17/2027</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A989FB" w14:textId="5ADD60AA" w:rsidR="00BB5190" w:rsidRPr="00611C2D" w:rsidRDefault="00BB5190" w:rsidP="00611C2D">
            <w:pPr>
              <w:pStyle w:val="BodyText"/>
              <w:spacing w:after="120"/>
              <w:contextualSpacing/>
              <w:jc w:val="center"/>
              <w:rPr>
                <w:sz w:val="20"/>
              </w:rPr>
            </w:pPr>
            <w:r w:rsidRPr="00611C2D">
              <w:rPr>
                <w:sz w:val="20"/>
              </w:rPr>
              <w:t>14 days</w:t>
            </w:r>
            <w:r w:rsidRPr="00611C2D">
              <w:rPr>
                <w:sz w:val="20"/>
                <w:vertAlign w:val="superscript"/>
              </w:rPr>
              <w:t>(</w:t>
            </w:r>
            <w:r w:rsidR="001E7876">
              <w:rPr>
                <w:sz w:val="20"/>
                <w:vertAlign w:val="superscript"/>
              </w:rPr>
              <w:t>3</w:t>
            </w:r>
            <w:r w:rsidRPr="00611C2D">
              <w:rPr>
                <w:sz w:val="20"/>
                <w:vertAlign w:val="superscript"/>
              </w:rPr>
              <w:t>)</w:t>
            </w:r>
          </w:p>
        </w:tc>
      </w:tr>
      <w:tr w:rsidR="00BB5190" w:rsidRPr="00F72BD7" w14:paraId="6738479C" w14:textId="77777777" w:rsidTr="009559D8">
        <w:trPr>
          <w:trHeight w:val="9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24186" w14:textId="77777777" w:rsidR="00BB5190" w:rsidRPr="00611C2D" w:rsidRDefault="00BB5190" w:rsidP="00611C2D">
            <w:pPr>
              <w:pStyle w:val="BodyText"/>
              <w:spacing w:after="120"/>
              <w:contextualSpacing/>
              <w:jc w:val="center"/>
              <w:rPr>
                <w:sz w:val="20"/>
              </w:rPr>
            </w:pPr>
            <w:r w:rsidRPr="00611C2D">
              <w:rPr>
                <w:sz w:val="20"/>
              </w:rPr>
              <w:t>South Dakota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E188D9F" w14:textId="77777777" w:rsidR="00BB5190" w:rsidRPr="00611C2D" w:rsidRDefault="00D93F1C" w:rsidP="00611C2D">
            <w:pPr>
              <w:pStyle w:val="BodyText"/>
              <w:spacing w:after="120"/>
              <w:contextualSpacing/>
              <w:jc w:val="center"/>
              <w:rPr>
                <w:color w:val="4472C4" w:themeColor="accent1"/>
                <w:sz w:val="20"/>
              </w:rPr>
            </w:pPr>
            <w:hyperlink r:id="rId19" w:history="1">
              <w:r w:rsidR="00BB5190" w:rsidRPr="00611C2D">
                <w:rPr>
                  <w:rStyle w:val="Hyperlink"/>
                  <w:color w:val="4472C4" w:themeColor="accent1"/>
                  <w:sz w:val="20"/>
                </w:rPr>
                <w:t>SDR100000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EFDBB5E" w14:textId="77777777" w:rsidR="00BB5190" w:rsidRPr="00611C2D" w:rsidRDefault="00BB5190" w:rsidP="00611C2D">
            <w:pPr>
              <w:pStyle w:val="BodyText"/>
              <w:spacing w:after="120"/>
              <w:contextualSpacing/>
              <w:jc w:val="center"/>
              <w:rPr>
                <w:sz w:val="20"/>
              </w:rPr>
            </w:pPr>
            <w:r w:rsidRPr="00611C2D">
              <w:rPr>
                <w:sz w:val="20"/>
              </w:rPr>
              <w:t>11/1/2023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709DE3D" w14:textId="77777777" w:rsidR="00BB5190" w:rsidRPr="00611C2D" w:rsidRDefault="00BB5190" w:rsidP="00611C2D">
            <w:pPr>
              <w:pStyle w:val="BodyText"/>
              <w:spacing w:after="120"/>
              <w:contextualSpacing/>
              <w:jc w:val="center"/>
              <w:rPr>
                <w:sz w:val="20"/>
              </w:rPr>
            </w:pPr>
            <w:r w:rsidRPr="00611C2D">
              <w:rPr>
                <w:sz w:val="20"/>
              </w:rPr>
              <w:t>10/31/2028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09FA2E0" w14:textId="77777777" w:rsidR="00BB5190" w:rsidRPr="00611C2D" w:rsidRDefault="00BB5190" w:rsidP="00611C2D">
            <w:pPr>
              <w:pStyle w:val="BodyText"/>
              <w:spacing w:after="120"/>
              <w:contextualSpacing/>
              <w:jc w:val="center"/>
              <w:rPr>
                <w:sz w:val="20"/>
              </w:rPr>
            </w:pPr>
            <w:r w:rsidRPr="00611C2D">
              <w:rPr>
                <w:sz w:val="20"/>
              </w:rPr>
              <w:t>15 days</w:t>
            </w:r>
          </w:p>
        </w:tc>
      </w:tr>
      <w:tr w:rsidR="00BB5190" w:rsidRPr="00F72BD7" w14:paraId="164C39A8" w14:textId="77777777" w:rsidTr="009559D8">
        <w:trPr>
          <w:trHeight w:val="21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01C83" w14:textId="2730AA6D" w:rsidR="00BB5190" w:rsidRPr="00611C2D" w:rsidRDefault="00BB5190" w:rsidP="00611C2D">
            <w:pPr>
              <w:pStyle w:val="BodyText"/>
              <w:spacing w:after="120"/>
              <w:contextualSpacing/>
              <w:jc w:val="center"/>
              <w:rPr>
                <w:sz w:val="20"/>
              </w:rPr>
            </w:pPr>
            <w:r w:rsidRPr="00611C2D">
              <w:rPr>
                <w:sz w:val="20"/>
              </w:rPr>
              <w:t>Texas (</w:t>
            </w:r>
            <w:r w:rsidR="009C3219">
              <w:rPr>
                <w:sz w:val="20"/>
              </w:rPr>
              <w:t>S</w:t>
            </w:r>
            <w:r w:rsidRPr="00611C2D">
              <w:rPr>
                <w:sz w:val="20"/>
              </w:rPr>
              <w:t>mall)</w:t>
            </w:r>
            <w:r w:rsidRPr="00611C2D">
              <w:rPr>
                <w:sz w:val="20"/>
                <w:vertAlign w:val="superscript"/>
              </w:rPr>
              <w:t>(</w:t>
            </w:r>
            <w:r w:rsidR="001E7876">
              <w:rPr>
                <w:sz w:val="20"/>
                <w:vertAlign w:val="superscript"/>
              </w:rPr>
              <w:t>4</w:t>
            </w:r>
            <w:r w:rsidRPr="00611C2D">
              <w:rPr>
                <w:sz w:val="20"/>
                <w:vertAlign w:val="superscript"/>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BF2BC8E" w14:textId="77777777" w:rsidR="00BB5190" w:rsidRPr="00611C2D" w:rsidRDefault="00D93F1C" w:rsidP="00611C2D">
            <w:pPr>
              <w:pStyle w:val="BodyText"/>
              <w:spacing w:after="120"/>
              <w:contextualSpacing/>
              <w:jc w:val="center"/>
              <w:rPr>
                <w:color w:val="4472C4" w:themeColor="accent1"/>
                <w:sz w:val="20"/>
              </w:rPr>
            </w:pPr>
            <w:hyperlink r:id="rId20" w:history="1">
              <w:r w:rsidR="00BB5190" w:rsidRPr="00611C2D">
                <w:rPr>
                  <w:rStyle w:val="Hyperlink"/>
                  <w:color w:val="4472C4" w:themeColor="accent1"/>
                  <w:sz w:val="20"/>
                </w:rPr>
                <w:t>TXR150000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A38943D" w14:textId="77777777" w:rsidR="00BB5190" w:rsidRPr="00611C2D" w:rsidRDefault="00BB5190" w:rsidP="00611C2D">
            <w:pPr>
              <w:pStyle w:val="BodyText"/>
              <w:spacing w:after="120"/>
              <w:contextualSpacing/>
              <w:jc w:val="center"/>
              <w:rPr>
                <w:sz w:val="20"/>
              </w:rPr>
            </w:pPr>
            <w:r w:rsidRPr="00611C2D">
              <w:rPr>
                <w:sz w:val="20"/>
              </w:rPr>
              <w:t>3/5/2023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79BBD5A" w14:textId="77777777" w:rsidR="00BB5190" w:rsidRPr="00611C2D" w:rsidRDefault="00BB5190" w:rsidP="00611C2D">
            <w:pPr>
              <w:pStyle w:val="BodyText"/>
              <w:spacing w:after="120"/>
              <w:contextualSpacing/>
              <w:jc w:val="center"/>
              <w:rPr>
                <w:sz w:val="20"/>
              </w:rPr>
            </w:pPr>
            <w:r w:rsidRPr="00611C2D">
              <w:rPr>
                <w:sz w:val="20"/>
              </w:rPr>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CBC13B1" w14:textId="77777777" w:rsidR="00BB5190" w:rsidRPr="00611C2D" w:rsidRDefault="00BB5190" w:rsidP="00611C2D">
            <w:pPr>
              <w:pStyle w:val="BodyText"/>
              <w:spacing w:after="120"/>
              <w:contextualSpacing/>
              <w:jc w:val="center"/>
              <w:rPr>
                <w:sz w:val="20"/>
              </w:rPr>
            </w:pPr>
            <w:r w:rsidRPr="00611C2D">
              <w:rPr>
                <w:sz w:val="20"/>
              </w:rPr>
              <w:t>2 days</w:t>
            </w:r>
          </w:p>
        </w:tc>
      </w:tr>
      <w:tr w:rsidR="00BB5190" w:rsidRPr="00F72BD7" w14:paraId="6E301EF5" w14:textId="77777777" w:rsidTr="009559D8">
        <w:trPr>
          <w:trHeight w:val="24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9908" w14:textId="50DF5914" w:rsidR="00BB5190" w:rsidRPr="00611C2D" w:rsidRDefault="00BB5190" w:rsidP="00611C2D">
            <w:pPr>
              <w:pStyle w:val="BodyText"/>
              <w:spacing w:after="120"/>
              <w:contextualSpacing/>
              <w:jc w:val="center"/>
              <w:rPr>
                <w:sz w:val="20"/>
              </w:rPr>
            </w:pPr>
            <w:r w:rsidRPr="00611C2D">
              <w:rPr>
                <w:sz w:val="20"/>
              </w:rPr>
              <w:t>Texas (</w:t>
            </w:r>
            <w:r w:rsidR="009C3219">
              <w:rPr>
                <w:sz w:val="20"/>
              </w:rPr>
              <w:t>L</w:t>
            </w:r>
            <w:r w:rsidRPr="00611C2D">
              <w:rPr>
                <w:sz w:val="20"/>
              </w:rPr>
              <w:t>arge)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69787D1" w14:textId="77777777" w:rsidR="00BB5190" w:rsidRPr="00611C2D" w:rsidRDefault="00D93F1C" w:rsidP="00611C2D">
            <w:pPr>
              <w:pStyle w:val="BodyText"/>
              <w:spacing w:after="120"/>
              <w:contextualSpacing/>
              <w:jc w:val="center"/>
              <w:rPr>
                <w:color w:val="4472C4" w:themeColor="accent1"/>
                <w:sz w:val="20"/>
              </w:rPr>
            </w:pPr>
            <w:hyperlink r:id="rId21" w:history="1">
              <w:r w:rsidR="00BB5190" w:rsidRPr="00611C2D">
                <w:rPr>
                  <w:rStyle w:val="Hyperlink"/>
                  <w:color w:val="4472C4" w:themeColor="accent1"/>
                  <w:sz w:val="20"/>
                </w:rPr>
                <w:t>TXR150000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E425ACE" w14:textId="77777777" w:rsidR="00BB5190" w:rsidRPr="00611C2D" w:rsidRDefault="00BB5190" w:rsidP="00611C2D">
            <w:pPr>
              <w:pStyle w:val="BodyText"/>
              <w:spacing w:after="120"/>
              <w:contextualSpacing/>
              <w:jc w:val="center"/>
              <w:rPr>
                <w:sz w:val="20"/>
              </w:rPr>
            </w:pPr>
            <w:r w:rsidRPr="00611C2D">
              <w:rPr>
                <w:sz w:val="20"/>
              </w:rPr>
              <w:t>3/5/2023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2A270AC" w14:textId="77777777" w:rsidR="00BB5190" w:rsidRPr="00611C2D" w:rsidRDefault="00BB5190" w:rsidP="00611C2D">
            <w:pPr>
              <w:pStyle w:val="BodyText"/>
              <w:spacing w:after="120"/>
              <w:contextualSpacing/>
              <w:jc w:val="center"/>
              <w:rPr>
                <w:sz w:val="20"/>
              </w:rPr>
            </w:pPr>
            <w:r w:rsidRPr="00611C2D">
              <w:rPr>
                <w:sz w:val="20"/>
              </w:rPr>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CC9362D" w14:textId="77777777" w:rsidR="00BB5190" w:rsidRPr="00611C2D" w:rsidRDefault="00BB5190" w:rsidP="00611C2D">
            <w:pPr>
              <w:pStyle w:val="BodyText"/>
              <w:spacing w:after="120"/>
              <w:contextualSpacing/>
              <w:jc w:val="center"/>
              <w:rPr>
                <w:sz w:val="20"/>
              </w:rPr>
            </w:pPr>
            <w:r w:rsidRPr="00611C2D">
              <w:rPr>
                <w:sz w:val="20"/>
              </w:rPr>
              <w:t>7 days</w:t>
            </w:r>
          </w:p>
        </w:tc>
      </w:tr>
      <w:tr w:rsidR="00BB5190" w:rsidRPr="00F72BD7" w14:paraId="765EA30C" w14:textId="77777777" w:rsidTr="009559D8">
        <w:trPr>
          <w:trHeight w:val="10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08933" w14:textId="77777777" w:rsidR="00BB5190" w:rsidRPr="00611C2D" w:rsidRDefault="00BB5190" w:rsidP="00611C2D">
            <w:pPr>
              <w:pStyle w:val="BodyText"/>
              <w:spacing w:after="120"/>
              <w:contextualSpacing/>
              <w:jc w:val="center"/>
              <w:rPr>
                <w:sz w:val="20"/>
              </w:rPr>
            </w:pPr>
            <w:r w:rsidRPr="00611C2D">
              <w:rPr>
                <w:sz w:val="20"/>
              </w:rPr>
              <w:t>Utah</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63C4E75" w14:textId="77777777" w:rsidR="00BB5190" w:rsidRPr="00611C2D" w:rsidRDefault="00D93F1C" w:rsidP="00611C2D">
            <w:pPr>
              <w:pStyle w:val="BodyText"/>
              <w:spacing w:after="120"/>
              <w:contextualSpacing/>
              <w:jc w:val="center"/>
              <w:rPr>
                <w:color w:val="4472C4" w:themeColor="accent1"/>
                <w:sz w:val="20"/>
              </w:rPr>
            </w:pPr>
            <w:hyperlink r:id="rId22" w:history="1">
              <w:r w:rsidR="00BB5190" w:rsidRPr="00611C2D">
                <w:rPr>
                  <w:rStyle w:val="Hyperlink"/>
                  <w:color w:val="4472C4" w:themeColor="accent1"/>
                  <w:sz w:val="20"/>
                </w:rPr>
                <w:t>UTRC00000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29AABAF" w14:textId="77777777" w:rsidR="00BB5190" w:rsidRPr="00611C2D" w:rsidRDefault="00BB5190" w:rsidP="00611C2D">
            <w:pPr>
              <w:pStyle w:val="BodyText"/>
              <w:spacing w:after="120"/>
              <w:contextualSpacing/>
              <w:jc w:val="center"/>
              <w:rPr>
                <w:sz w:val="20"/>
              </w:rPr>
            </w:pPr>
            <w:r w:rsidRPr="00611C2D">
              <w:rPr>
                <w:sz w:val="20"/>
              </w:rPr>
              <w:t>07/1/2024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2B90F7F" w14:textId="77777777" w:rsidR="00BB5190" w:rsidRPr="00611C2D" w:rsidRDefault="00BB5190" w:rsidP="00611C2D">
            <w:pPr>
              <w:pStyle w:val="BodyText"/>
              <w:spacing w:after="120"/>
              <w:contextualSpacing/>
              <w:jc w:val="center"/>
              <w:rPr>
                <w:sz w:val="20"/>
              </w:rPr>
            </w:pPr>
            <w:r w:rsidRPr="00611C2D">
              <w:rPr>
                <w:sz w:val="20"/>
              </w:rPr>
              <w:t>06/30/2029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0945A73" w14:textId="77777777" w:rsidR="00BB5190" w:rsidRPr="00611C2D" w:rsidRDefault="00BB5190" w:rsidP="00611C2D">
            <w:pPr>
              <w:pStyle w:val="BodyText"/>
              <w:spacing w:after="120"/>
              <w:contextualSpacing/>
              <w:jc w:val="center"/>
              <w:rPr>
                <w:sz w:val="20"/>
              </w:rPr>
            </w:pPr>
            <w:r w:rsidRPr="00611C2D">
              <w:rPr>
                <w:sz w:val="20"/>
              </w:rPr>
              <w:t>None</w:t>
            </w:r>
          </w:p>
        </w:tc>
      </w:tr>
      <w:tr w:rsidR="00BB5190" w:rsidRPr="00F72BD7" w14:paraId="480E4A0A" w14:textId="77777777" w:rsidTr="009559D8">
        <w:trPr>
          <w:trHeight w:val="314"/>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2092F" w14:textId="13688703" w:rsidR="00BB5190" w:rsidRPr="00611C2D" w:rsidRDefault="00BB5190" w:rsidP="00611C2D">
            <w:pPr>
              <w:pStyle w:val="BodyText"/>
              <w:spacing w:after="120"/>
              <w:contextualSpacing/>
              <w:jc w:val="center"/>
              <w:rPr>
                <w:sz w:val="20"/>
              </w:rPr>
            </w:pPr>
            <w:r w:rsidRPr="00611C2D">
              <w:rPr>
                <w:sz w:val="20"/>
              </w:rPr>
              <w:t>Wyoming (</w:t>
            </w:r>
            <w:r w:rsidR="009C3219">
              <w:rPr>
                <w:sz w:val="20"/>
              </w:rPr>
              <w:t>S</w:t>
            </w:r>
            <w:r w:rsidRPr="00611C2D">
              <w:rPr>
                <w:sz w:val="20"/>
              </w:rPr>
              <w:t>mall)</w:t>
            </w:r>
            <w:r w:rsidRPr="00611C2D">
              <w:rPr>
                <w:sz w:val="20"/>
                <w:vertAlign w:val="superscript"/>
              </w:rPr>
              <w:t>(</w:t>
            </w:r>
            <w:r w:rsidR="001E7876">
              <w:rPr>
                <w:sz w:val="20"/>
                <w:vertAlign w:val="superscript"/>
              </w:rPr>
              <w:t>5</w:t>
            </w:r>
            <w:r w:rsidRPr="00611C2D">
              <w:rPr>
                <w:sz w:val="20"/>
                <w:vertAlign w:val="superscript"/>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0E471370" w14:textId="77777777" w:rsidR="00BB5190" w:rsidRPr="00611C2D" w:rsidRDefault="00D93F1C" w:rsidP="00611C2D">
            <w:pPr>
              <w:pStyle w:val="BodyText"/>
              <w:spacing w:after="120"/>
              <w:contextualSpacing/>
              <w:jc w:val="center"/>
              <w:rPr>
                <w:color w:val="4472C4" w:themeColor="accent1"/>
                <w:sz w:val="20"/>
              </w:rPr>
            </w:pPr>
            <w:hyperlink r:id="rId23" w:history="1">
              <w:r w:rsidR="00BB5190" w:rsidRPr="00611C2D">
                <w:rPr>
                  <w:rStyle w:val="Hyperlink"/>
                  <w:color w:val="4472C4" w:themeColor="accent1"/>
                  <w:sz w:val="20"/>
                </w:rPr>
                <w:t>WYR10-A000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7C16E7A" w14:textId="77777777" w:rsidR="00BB5190" w:rsidRPr="00611C2D" w:rsidRDefault="00BB5190" w:rsidP="00611C2D">
            <w:pPr>
              <w:pStyle w:val="BodyText"/>
              <w:spacing w:after="120"/>
              <w:contextualSpacing/>
              <w:jc w:val="center"/>
              <w:rPr>
                <w:sz w:val="20"/>
              </w:rPr>
            </w:pPr>
            <w:r w:rsidRPr="00611C2D">
              <w:rPr>
                <w:sz w:val="20"/>
              </w:rPr>
              <w:t>9/11/2020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2B82067" w14:textId="77777777" w:rsidR="00BB5190" w:rsidRPr="00611C2D" w:rsidRDefault="00BB5190" w:rsidP="00611C2D">
            <w:pPr>
              <w:pStyle w:val="BodyText"/>
              <w:spacing w:after="120"/>
              <w:contextualSpacing/>
              <w:jc w:val="center"/>
              <w:rPr>
                <w:sz w:val="20"/>
              </w:rPr>
            </w:pPr>
            <w:r w:rsidRPr="00611C2D">
              <w:rPr>
                <w:sz w:val="20"/>
              </w:rPr>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CBFE057" w14:textId="77777777" w:rsidR="00BB5190" w:rsidRPr="00611C2D" w:rsidRDefault="00BB5190" w:rsidP="00611C2D">
            <w:pPr>
              <w:pStyle w:val="BodyText"/>
              <w:spacing w:after="120"/>
              <w:contextualSpacing/>
              <w:jc w:val="center"/>
              <w:rPr>
                <w:sz w:val="20"/>
              </w:rPr>
            </w:pPr>
            <w:r w:rsidRPr="00611C2D">
              <w:rPr>
                <w:sz w:val="20"/>
              </w:rPr>
              <w:t>None</w:t>
            </w:r>
          </w:p>
        </w:tc>
      </w:tr>
      <w:tr w:rsidR="00BB5190" w:rsidRPr="00F72BD7" w14:paraId="7D632BD6" w14:textId="77777777" w:rsidTr="009559D8">
        <w:trPr>
          <w:trHeight w:val="8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B32B4" w14:textId="057DEB83" w:rsidR="00BB5190" w:rsidRPr="00611C2D" w:rsidRDefault="00BB5190" w:rsidP="00611C2D">
            <w:pPr>
              <w:pStyle w:val="BodyText"/>
              <w:spacing w:after="120"/>
              <w:contextualSpacing/>
              <w:jc w:val="center"/>
              <w:rPr>
                <w:sz w:val="20"/>
              </w:rPr>
            </w:pPr>
            <w:r w:rsidRPr="00611C2D">
              <w:rPr>
                <w:sz w:val="20"/>
              </w:rPr>
              <w:t>Wyoming (</w:t>
            </w:r>
            <w:r w:rsidR="009C3219">
              <w:rPr>
                <w:sz w:val="20"/>
              </w:rPr>
              <w:t>L</w:t>
            </w:r>
            <w:r w:rsidRPr="00611C2D">
              <w:rPr>
                <w:sz w:val="20"/>
              </w:rPr>
              <w:t>arge)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51511C2" w14:textId="77777777" w:rsidR="00BB5190" w:rsidRPr="00611C2D" w:rsidRDefault="00D93F1C" w:rsidP="00611C2D">
            <w:pPr>
              <w:pStyle w:val="BodyText"/>
              <w:spacing w:after="120"/>
              <w:contextualSpacing/>
              <w:jc w:val="center"/>
              <w:rPr>
                <w:color w:val="4472C4" w:themeColor="accent1"/>
                <w:sz w:val="20"/>
              </w:rPr>
            </w:pPr>
            <w:hyperlink r:id="rId24" w:history="1">
              <w:r w:rsidR="00BB5190" w:rsidRPr="00611C2D">
                <w:rPr>
                  <w:rStyle w:val="Hyperlink"/>
                  <w:color w:val="4472C4" w:themeColor="accent1"/>
                  <w:sz w:val="20"/>
                </w:rPr>
                <w:t>WYR100000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4572EAB" w14:textId="77777777" w:rsidR="00BB5190" w:rsidRPr="00611C2D" w:rsidRDefault="00BB5190" w:rsidP="00611C2D">
            <w:pPr>
              <w:pStyle w:val="BodyText"/>
              <w:spacing w:after="120"/>
              <w:contextualSpacing/>
              <w:jc w:val="center"/>
              <w:rPr>
                <w:sz w:val="20"/>
              </w:rPr>
            </w:pPr>
            <w:r w:rsidRPr="00611C2D">
              <w:rPr>
                <w:sz w:val="20"/>
              </w:rPr>
              <w:t>9/11/2020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FA6453D" w14:textId="77777777" w:rsidR="00BB5190" w:rsidRPr="00611C2D" w:rsidRDefault="00BB5190" w:rsidP="00611C2D">
            <w:pPr>
              <w:pStyle w:val="BodyText"/>
              <w:spacing w:after="120"/>
              <w:contextualSpacing/>
              <w:jc w:val="center"/>
              <w:rPr>
                <w:sz w:val="20"/>
              </w:rPr>
            </w:pPr>
            <w:r w:rsidRPr="00611C2D">
              <w:rPr>
                <w:sz w:val="20"/>
              </w:rPr>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8BB1D63" w14:textId="77777777" w:rsidR="00BB5190" w:rsidRPr="00611C2D" w:rsidRDefault="00BB5190" w:rsidP="00611C2D">
            <w:pPr>
              <w:pStyle w:val="BodyText"/>
              <w:spacing w:after="120"/>
              <w:contextualSpacing/>
              <w:jc w:val="center"/>
              <w:rPr>
                <w:sz w:val="20"/>
              </w:rPr>
            </w:pPr>
            <w:r w:rsidRPr="00611C2D">
              <w:rPr>
                <w:sz w:val="20"/>
              </w:rPr>
              <w:t>10 days</w:t>
            </w:r>
          </w:p>
        </w:tc>
      </w:tr>
    </w:tbl>
    <w:p w14:paraId="0D1939BC" w14:textId="42DC2B4D" w:rsidR="001E7876" w:rsidRDefault="001E7876" w:rsidP="00611C2D">
      <w:pPr>
        <w:pStyle w:val="BodyText"/>
        <w:spacing w:after="0"/>
        <w:ind w:left="270"/>
        <w:rPr>
          <w:sz w:val="20"/>
          <w:szCs w:val="16"/>
        </w:rPr>
      </w:pPr>
      <w:r>
        <w:rPr>
          <w:sz w:val="20"/>
          <w:szCs w:val="16"/>
        </w:rPr>
        <w:t xml:space="preserve">(1) </w:t>
      </w:r>
      <w:r w:rsidRPr="001E7876">
        <w:rPr>
          <w:sz w:val="20"/>
          <w:szCs w:val="16"/>
        </w:rPr>
        <w:t xml:space="preserve">Upload </w:t>
      </w:r>
      <w:r>
        <w:rPr>
          <w:sz w:val="20"/>
          <w:szCs w:val="16"/>
        </w:rPr>
        <w:t xml:space="preserve">the </w:t>
      </w:r>
      <w:r w:rsidRPr="001E7876">
        <w:rPr>
          <w:sz w:val="20"/>
          <w:szCs w:val="16"/>
        </w:rPr>
        <w:t xml:space="preserve">SWPPP to the California Water Boards Stormwater Multiple Application and Report Tracking System (SMARTS) and complete </w:t>
      </w:r>
      <w:r>
        <w:rPr>
          <w:sz w:val="20"/>
          <w:szCs w:val="16"/>
        </w:rPr>
        <w:t xml:space="preserve">the </w:t>
      </w:r>
      <w:r w:rsidRPr="001E7876">
        <w:rPr>
          <w:sz w:val="20"/>
          <w:szCs w:val="16"/>
        </w:rPr>
        <w:t xml:space="preserve">NOI application previously started by </w:t>
      </w:r>
      <w:r>
        <w:rPr>
          <w:sz w:val="20"/>
          <w:szCs w:val="16"/>
        </w:rPr>
        <w:t>the G</w:t>
      </w:r>
      <w:r w:rsidRPr="001E7876">
        <w:rPr>
          <w:sz w:val="20"/>
          <w:szCs w:val="16"/>
        </w:rPr>
        <w:t xml:space="preserve">overnment. Notify </w:t>
      </w:r>
      <w:r>
        <w:rPr>
          <w:sz w:val="20"/>
          <w:szCs w:val="16"/>
        </w:rPr>
        <w:t xml:space="preserve">the </w:t>
      </w:r>
      <w:r w:rsidRPr="001E7876">
        <w:rPr>
          <w:sz w:val="20"/>
          <w:szCs w:val="16"/>
        </w:rPr>
        <w:t xml:space="preserve">CO once </w:t>
      </w:r>
      <w:r>
        <w:rPr>
          <w:sz w:val="20"/>
          <w:szCs w:val="16"/>
        </w:rPr>
        <w:t xml:space="preserve">the NOI </w:t>
      </w:r>
      <w:r w:rsidRPr="001E7876">
        <w:rPr>
          <w:sz w:val="20"/>
          <w:szCs w:val="16"/>
        </w:rPr>
        <w:t>application is complete. Do not certify the NOI.</w:t>
      </w:r>
    </w:p>
    <w:p w14:paraId="6095BEE1" w14:textId="7C70C3EC" w:rsidR="00BB5190" w:rsidRPr="00611C2D" w:rsidRDefault="00BB5190" w:rsidP="00611C2D">
      <w:pPr>
        <w:pStyle w:val="BodyText"/>
        <w:spacing w:after="0"/>
        <w:ind w:left="270"/>
        <w:rPr>
          <w:sz w:val="20"/>
          <w:szCs w:val="16"/>
        </w:rPr>
      </w:pPr>
      <w:r w:rsidRPr="00611C2D">
        <w:rPr>
          <w:sz w:val="20"/>
          <w:szCs w:val="16"/>
        </w:rPr>
        <w:t>(</w:t>
      </w:r>
      <w:r w:rsidR="001E7876">
        <w:rPr>
          <w:sz w:val="20"/>
          <w:szCs w:val="16"/>
        </w:rPr>
        <w:t>2</w:t>
      </w:r>
      <w:r w:rsidRPr="00611C2D">
        <w:rPr>
          <w:sz w:val="20"/>
          <w:szCs w:val="16"/>
        </w:rPr>
        <w:t>) Permit administratively extended.</w:t>
      </w:r>
    </w:p>
    <w:p w14:paraId="6BC8AD9B" w14:textId="070A12A5" w:rsidR="00BB5190" w:rsidRPr="00611C2D" w:rsidRDefault="00BB5190" w:rsidP="00611C2D">
      <w:pPr>
        <w:pStyle w:val="BodyText"/>
        <w:spacing w:after="0"/>
        <w:ind w:left="270"/>
        <w:rPr>
          <w:sz w:val="20"/>
          <w:szCs w:val="16"/>
        </w:rPr>
      </w:pPr>
      <w:r w:rsidRPr="00611C2D">
        <w:rPr>
          <w:sz w:val="20"/>
          <w:szCs w:val="16"/>
        </w:rPr>
        <w:t>(</w:t>
      </w:r>
      <w:r w:rsidR="001E7876">
        <w:rPr>
          <w:sz w:val="20"/>
          <w:szCs w:val="16"/>
        </w:rPr>
        <w:t>3</w:t>
      </w:r>
      <w:r w:rsidRPr="00611C2D">
        <w:rPr>
          <w:sz w:val="20"/>
          <w:szCs w:val="16"/>
        </w:rPr>
        <w:t>) 45 days for projects over 40 acres or in a sensitive watershed.</w:t>
      </w:r>
    </w:p>
    <w:p w14:paraId="0CB8F46B" w14:textId="6AE1AC5C" w:rsidR="00BB5190" w:rsidRPr="00611C2D" w:rsidRDefault="00BB5190" w:rsidP="00611C2D">
      <w:pPr>
        <w:pStyle w:val="BodyText"/>
        <w:spacing w:after="0"/>
        <w:ind w:left="270"/>
        <w:rPr>
          <w:sz w:val="20"/>
          <w:szCs w:val="16"/>
        </w:rPr>
      </w:pPr>
      <w:r w:rsidRPr="00611C2D">
        <w:rPr>
          <w:sz w:val="20"/>
          <w:szCs w:val="16"/>
        </w:rPr>
        <w:t>(</w:t>
      </w:r>
      <w:r w:rsidR="001E7876">
        <w:rPr>
          <w:sz w:val="20"/>
          <w:szCs w:val="16"/>
        </w:rPr>
        <w:t>4</w:t>
      </w:r>
      <w:r w:rsidRPr="00611C2D">
        <w:rPr>
          <w:sz w:val="20"/>
          <w:szCs w:val="16"/>
        </w:rPr>
        <w:t>) Prepare a Construction Site Notice rather than an NOI.</w:t>
      </w:r>
    </w:p>
    <w:p w14:paraId="2E856FEF" w14:textId="4535E716" w:rsidR="00BB5190" w:rsidRPr="00611C2D" w:rsidRDefault="00BB5190" w:rsidP="00611C2D">
      <w:pPr>
        <w:pStyle w:val="BodyText"/>
        <w:ind w:left="274"/>
        <w:rPr>
          <w:sz w:val="20"/>
          <w:szCs w:val="16"/>
        </w:rPr>
      </w:pPr>
      <w:r w:rsidRPr="00611C2D">
        <w:rPr>
          <w:sz w:val="20"/>
          <w:szCs w:val="16"/>
        </w:rPr>
        <w:t>(</w:t>
      </w:r>
      <w:r w:rsidR="001E7876">
        <w:rPr>
          <w:sz w:val="20"/>
          <w:szCs w:val="16"/>
        </w:rPr>
        <w:t>5</w:t>
      </w:r>
      <w:r w:rsidRPr="00611C2D">
        <w:rPr>
          <w:sz w:val="20"/>
          <w:szCs w:val="16"/>
        </w:rPr>
        <w:t>) Prepare a SWPPP rather than an NOI. Implement the SWPPP before ground disturbing activities.</w:t>
      </w:r>
    </w:p>
    <w:bookmarkEnd w:id="0"/>
    <w:p w14:paraId="72A4E668" w14:textId="38853A80" w:rsidR="005C3C05" w:rsidRPr="00E862BF" w:rsidRDefault="005C3C05" w:rsidP="00C61B5A">
      <w:pPr>
        <w:pStyle w:val="BodyText"/>
      </w:pPr>
      <w:r w:rsidRPr="00671B5A">
        <w:rPr>
          <w:b/>
          <w:bCs/>
        </w:rPr>
        <w:t>107.02</w:t>
      </w:r>
      <w:r w:rsidRPr="005C3C05">
        <w:t>(</w:t>
      </w:r>
      <w:r w:rsidRPr="005C3C05">
        <w:rPr>
          <w:b/>
          <w:bCs/>
        </w:rPr>
        <w:t>d) Utilities.</w:t>
      </w:r>
      <w:r w:rsidRPr="005C3C05">
        <w:t xml:space="preserve"> </w:t>
      </w:r>
      <w:r w:rsidRPr="00E862BF">
        <w:rPr>
          <w:u w:val="single"/>
        </w:rPr>
        <w:t>Add the followin</w:t>
      </w:r>
      <w:r>
        <w:rPr>
          <w:u w:val="single"/>
        </w:rPr>
        <w:t>g</w:t>
      </w:r>
      <w:r w:rsidRPr="00E862BF">
        <w:t>:</w:t>
      </w:r>
    </w:p>
    <w:p w14:paraId="01BAFE9B" w14:textId="59372643" w:rsidR="003913D8" w:rsidRPr="00C61B5A" w:rsidRDefault="00932E36"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 xml:space="preserve">Use on all projects. </w:t>
      </w:r>
      <w:r w:rsidR="003913D8" w:rsidRPr="00C61B5A">
        <w:rPr>
          <w:rFonts w:eastAsia="MS Mincho"/>
          <w:vanish/>
          <w:szCs w:val="32"/>
        </w:rPr>
        <w:t>The Quality Level Certification defines the level of effort locating and mapping the utilities for the project. Be specific with spot locations, as applicable.</w:t>
      </w:r>
    </w:p>
    <w:p w14:paraId="64E79D78" w14:textId="39913908" w:rsidR="00CC36A9" w:rsidRDefault="005C3C05" w:rsidP="003B2852">
      <w:pPr>
        <w:pStyle w:val="BodyText"/>
        <w:ind w:left="360"/>
        <w:rPr>
          <w:rStyle w:val="Hyperlink"/>
        </w:rPr>
      </w:pPr>
      <w:r w:rsidRPr="00E862BF">
        <w:lastRenderedPageBreak/>
        <w:t>The locations of the utilities shown in the plans have been certified to a Quality Level</w:t>
      </w:r>
      <w:r w:rsidR="00627DAF">
        <w:t xml:space="preserve"> </w:t>
      </w:r>
      <w:r w:rsidR="00846E46" w:rsidRPr="00846E46">
        <w:rPr>
          <w:highlight w:val="yellow"/>
        </w:rPr>
        <w:t>&lt;&lt;&lt;</w:t>
      </w:r>
      <w:r w:rsidR="00CD47AB" w:rsidRPr="00846E46">
        <w:rPr>
          <w:highlight w:val="yellow"/>
        </w:rPr>
        <w:t>s</w:t>
      </w:r>
      <w:r w:rsidR="00627DAF" w:rsidRPr="00846E46">
        <w:rPr>
          <w:highlight w:val="yellow"/>
        </w:rPr>
        <w:t>elect A, B, C, or D</w:t>
      </w:r>
      <w:r w:rsidR="00846E46" w:rsidRPr="00846E46">
        <w:rPr>
          <w:highlight w:val="yellow"/>
        </w:rPr>
        <w:t>&gt;&gt;&gt;</w:t>
      </w:r>
      <w:r w:rsidRPr="00E862BF">
        <w:t xml:space="preserve">, with spot locations certified to a Quality Level </w:t>
      </w:r>
      <w:r w:rsidR="00846E46" w:rsidRPr="00846E46">
        <w:rPr>
          <w:highlight w:val="yellow"/>
        </w:rPr>
        <w:t>&lt;&lt;&lt;</w:t>
      </w:r>
      <w:r w:rsidR="00CD47AB" w:rsidRPr="00846E46">
        <w:rPr>
          <w:highlight w:val="yellow"/>
        </w:rPr>
        <w:t>s</w:t>
      </w:r>
      <w:r w:rsidR="00627DAF" w:rsidRPr="00846E46">
        <w:rPr>
          <w:highlight w:val="yellow"/>
        </w:rPr>
        <w:t>elect A, B, C, or D</w:t>
      </w:r>
      <w:r w:rsidR="00846E46" w:rsidRPr="00846E46">
        <w:rPr>
          <w:highlight w:val="yellow"/>
        </w:rPr>
        <w:t>&gt;&gt;&gt;</w:t>
      </w:r>
      <w:r w:rsidRPr="00E862BF">
        <w:t xml:space="preserve"> according to the </w:t>
      </w:r>
      <w:r>
        <w:t>CFLHD</w:t>
      </w:r>
      <w:r w:rsidRPr="00E862BF">
        <w:t xml:space="preserve"> </w:t>
      </w:r>
      <w:r w:rsidRPr="00846E46">
        <w:rPr>
          <w:i/>
          <w:iCs/>
        </w:rPr>
        <w:t>Utility Data Quality Certification</w:t>
      </w:r>
      <w:r w:rsidRPr="00E862BF">
        <w:t xml:space="preserve"> requirements</w:t>
      </w:r>
      <w:r w:rsidR="005C2146">
        <w:t xml:space="preserve"> available</w:t>
      </w:r>
      <w:r>
        <w:t xml:space="preserve"> at </w:t>
      </w:r>
      <w:hyperlink r:id="rId25" w:history="1">
        <w:r>
          <w:rPr>
            <w:rStyle w:val="Hyperlink"/>
          </w:rPr>
          <w:t>https://highways.dot.gov/federal-lands/rw-util/cfl</w:t>
        </w:r>
      </w:hyperlink>
      <w:r w:rsidR="00D4380C">
        <w:rPr>
          <w:rStyle w:val="Hyperlink"/>
        </w:rPr>
        <w:t>.</w:t>
      </w:r>
    </w:p>
    <w:p w14:paraId="53B67528" w14:textId="77777777" w:rsidR="00932E36" w:rsidRPr="00C61B5A" w:rsidRDefault="00932E36" w:rsidP="00932E36">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Include if NO utilities exist within project limits.</w:t>
      </w:r>
    </w:p>
    <w:p w14:paraId="19B96B81" w14:textId="77777777" w:rsidR="00932E36" w:rsidRPr="00E862BF" w:rsidRDefault="00932E36" w:rsidP="00932E36">
      <w:pPr>
        <w:pStyle w:val="BodyText"/>
      </w:pPr>
      <w:bookmarkStart w:id="1" w:name="_Hlk173823863"/>
      <w:r w:rsidRPr="00671B5A">
        <w:rPr>
          <w:b/>
          <w:bCs/>
        </w:rPr>
        <w:t>107.02</w:t>
      </w:r>
      <w:r w:rsidRPr="005C3C05">
        <w:t>(</w:t>
      </w:r>
      <w:r w:rsidRPr="005C3C05">
        <w:rPr>
          <w:b/>
          <w:bCs/>
        </w:rPr>
        <w:t>d) Utilities.</w:t>
      </w:r>
      <w:r w:rsidRPr="005C3C05">
        <w:t xml:space="preserve"> </w:t>
      </w:r>
      <w:r w:rsidRPr="00E862BF">
        <w:rPr>
          <w:u w:val="single"/>
        </w:rPr>
        <w:t>Add the followin</w:t>
      </w:r>
      <w:r>
        <w:rPr>
          <w:u w:val="single"/>
        </w:rPr>
        <w:t>g</w:t>
      </w:r>
      <w:r w:rsidRPr="00E862BF">
        <w:t>:</w:t>
      </w:r>
    </w:p>
    <w:p w14:paraId="795E03E2" w14:textId="77777777" w:rsidR="00932E36" w:rsidRPr="00C61B5A" w:rsidRDefault="00932E36" w:rsidP="00932E36">
      <w:pPr>
        <w:pStyle w:val="BodyText"/>
        <w:ind w:left="360"/>
      </w:pPr>
      <w:r w:rsidRPr="00B16FB7">
        <w:t>There are no known utilities within the project right of way.</w:t>
      </w:r>
    </w:p>
    <w:bookmarkEnd w:id="1"/>
    <w:p w14:paraId="4A98975F" w14:textId="77777777" w:rsidR="00932E36" w:rsidRDefault="00932E36" w:rsidP="00932E36">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 xml:space="preserve">Include if </w:t>
      </w:r>
      <w:r w:rsidRPr="00B00606">
        <w:rPr>
          <w:rFonts w:eastAsia="MS Mincho"/>
          <w:vanish/>
          <w:szCs w:val="32"/>
        </w:rPr>
        <w:t>utilities exist within the project limits.</w:t>
      </w:r>
    </w:p>
    <w:p w14:paraId="1267D1EA" w14:textId="10E595AF" w:rsidR="003913D8" w:rsidRDefault="003913D8"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sidRPr="00C61B5A">
        <w:rPr>
          <w:rFonts w:eastAsia="MS Mincho"/>
          <w:vanish/>
          <w:szCs w:val="32"/>
        </w:rPr>
        <w:t>The Status of Utilities Table may be copied from the Right of Way and Utility Certification. Add additional language, as required, for project specific conditions.</w:t>
      </w:r>
      <w:r w:rsidR="00D87FA4">
        <w:rPr>
          <w:rFonts w:eastAsia="MS Mincho"/>
          <w:vanish/>
          <w:szCs w:val="32"/>
        </w:rPr>
        <w:t xml:space="preserve"> Add or delete rows from the table as needed.</w:t>
      </w:r>
    </w:p>
    <w:p w14:paraId="736429D9" w14:textId="1DB05C3F" w:rsidR="00540EF9" w:rsidRDefault="00540EF9"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Do not include Table 107-</w:t>
      </w:r>
      <w:r w:rsidR="00997C28">
        <w:rPr>
          <w:rFonts w:eastAsia="MS Mincho"/>
          <w:vanish/>
          <w:szCs w:val="32"/>
        </w:rPr>
        <w:t>2</w:t>
      </w:r>
      <w:r>
        <w:rPr>
          <w:rFonts w:eastAsia="MS Mincho"/>
          <w:vanish/>
          <w:szCs w:val="32"/>
        </w:rPr>
        <w:t xml:space="preserve"> if there are no utilities within the project limits.</w:t>
      </w:r>
    </w:p>
    <w:p w14:paraId="544F3C18" w14:textId="77777777" w:rsidR="003F3414" w:rsidRDefault="003F3414"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Pr>
          <w:rFonts w:ascii="Times New Roman" w:eastAsia="MS Mincho" w:hAnsi="Times New Roman"/>
          <w:vanish/>
          <w:sz w:val="24"/>
          <w:szCs w:val="32"/>
        </w:rPr>
        <w:t>If applicable, additional information may need to be added to other parts of the PS&amp;E for project utility conflicts:</w:t>
      </w:r>
    </w:p>
    <w:p w14:paraId="7EC14E97" w14:textId="081FA57F" w:rsidR="003F3414" w:rsidRPr="003F3F46" w:rsidRDefault="003F3414"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B00606">
        <w:rPr>
          <w:rFonts w:ascii="Times New Roman" w:eastAsia="MS Mincho" w:hAnsi="Times New Roman"/>
          <w:b/>
          <w:bCs/>
          <w:vanish/>
          <w:sz w:val="24"/>
          <w:szCs w:val="32"/>
        </w:rPr>
        <w:t>Status 1</w:t>
      </w:r>
      <w:r w:rsidRPr="003F3F46">
        <w:rPr>
          <w:rFonts w:ascii="Times New Roman" w:eastAsia="MS Mincho" w:hAnsi="Times New Roman"/>
          <w:vanish/>
          <w:sz w:val="24"/>
          <w:szCs w:val="32"/>
        </w:rPr>
        <w:t xml:space="preserve">: If utilities are in conflict with the project and require relocation by others during construction, include directions for any required coordination or notifications in this Subsection. Include any schedules and limits to construction </w:t>
      </w:r>
      <w:r w:rsidR="00E333BA">
        <w:rPr>
          <w:rFonts w:ascii="Times New Roman" w:eastAsia="MS Mincho" w:hAnsi="Times New Roman"/>
          <w:vanish/>
          <w:sz w:val="24"/>
          <w:szCs w:val="32"/>
        </w:rPr>
        <w:t>in</w:t>
      </w:r>
      <w:r w:rsidRPr="003F3F46">
        <w:rPr>
          <w:rFonts w:ascii="Times New Roman" w:eastAsia="MS Mincho" w:hAnsi="Times New Roman"/>
          <w:vanish/>
          <w:sz w:val="24"/>
          <w:szCs w:val="32"/>
        </w:rPr>
        <w:t xml:space="preserve"> Section 108.</w:t>
      </w:r>
    </w:p>
    <w:p w14:paraId="58F0E9F2" w14:textId="4440A373" w:rsidR="003F3414" w:rsidRDefault="003F3414"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B00606">
        <w:rPr>
          <w:rFonts w:ascii="Times New Roman" w:eastAsia="MS Mincho" w:hAnsi="Times New Roman"/>
          <w:b/>
          <w:bCs/>
          <w:vanish/>
          <w:sz w:val="24"/>
          <w:szCs w:val="32"/>
        </w:rPr>
        <w:t>Status 2:</w:t>
      </w:r>
      <w:r w:rsidRPr="003F3F46">
        <w:rPr>
          <w:rFonts w:ascii="Times New Roman" w:eastAsia="MS Mincho" w:hAnsi="Times New Roman"/>
          <w:vanish/>
          <w:sz w:val="24"/>
          <w:szCs w:val="32"/>
        </w:rPr>
        <w:t xml:space="preserve"> If utilities are in conflict with the project and require relocation by the Contractor during construction, include the appropriate plan</w:t>
      </w:r>
      <w:r>
        <w:rPr>
          <w:rFonts w:ascii="Times New Roman" w:eastAsia="MS Mincho" w:hAnsi="Times New Roman"/>
          <w:vanish/>
          <w:sz w:val="24"/>
          <w:szCs w:val="32"/>
        </w:rPr>
        <w:t xml:space="preserve"> sheet</w:t>
      </w:r>
      <w:r w:rsidRPr="003F3F46">
        <w:rPr>
          <w:rFonts w:ascii="Times New Roman" w:eastAsia="MS Mincho" w:hAnsi="Times New Roman"/>
          <w:vanish/>
          <w:sz w:val="24"/>
          <w:szCs w:val="32"/>
        </w:rPr>
        <w:t>s, SCRs (</w:t>
      </w:r>
      <w:r>
        <w:rPr>
          <w:rFonts w:ascii="Times New Roman" w:eastAsia="MS Mincho" w:hAnsi="Times New Roman"/>
          <w:vanish/>
          <w:sz w:val="24"/>
          <w:szCs w:val="32"/>
        </w:rPr>
        <w:t xml:space="preserve">may include Sections </w:t>
      </w:r>
      <w:r w:rsidRPr="003F3F46">
        <w:rPr>
          <w:rFonts w:ascii="Times New Roman" w:eastAsia="MS Mincho" w:hAnsi="Times New Roman"/>
          <w:vanish/>
          <w:sz w:val="24"/>
          <w:szCs w:val="32"/>
        </w:rPr>
        <w:t xml:space="preserve">611, 612, and 636) and pay items. Include any schedules and limits to construction </w:t>
      </w:r>
      <w:r w:rsidR="00E333BA">
        <w:rPr>
          <w:rFonts w:ascii="Times New Roman" w:eastAsia="MS Mincho" w:hAnsi="Times New Roman"/>
          <w:vanish/>
          <w:sz w:val="24"/>
          <w:szCs w:val="32"/>
        </w:rPr>
        <w:t>in</w:t>
      </w:r>
      <w:r w:rsidRPr="003F3F46">
        <w:rPr>
          <w:rFonts w:ascii="Times New Roman" w:eastAsia="MS Mincho" w:hAnsi="Times New Roman"/>
          <w:vanish/>
          <w:sz w:val="24"/>
          <w:szCs w:val="32"/>
        </w:rPr>
        <w:t xml:space="preserve"> Section 108. </w:t>
      </w:r>
    </w:p>
    <w:p w14:paraId="2D4BC2C1" w14:textId="21F74C8A" w:rsidR="003F3414" w:rsidRPr="003F3F46" w:rsidRDefault="003F3414"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B00606">
        <w:rPr>
          <w:rFonts w:ascii="Times New Roman" w:eastAsia="MS Mincho" w:hAnsi="Times New Roman"/>
          <w:b/>
          <w:bCs/>
          <w:vanish/>
          <w:sz w:val="24"/>
          <w:szCs w:val="32"/>
        </w:rPr>
        <w:t>Status 3:</w:t>
      </w:r>
      <w:r w:rsidRPr="003F3F46">
        <w:rPr>
          <w:rFonts w:ascii="Times New Roman" w:eastAsia="MS Mincho" w:hAnsi="Times New Roman"/>
          <w:vanish/>
          <w:sz w:val="24"/>
          <w:szCs w:val="32"/>
        </w:rPr>
        <w:t xml:space="preserve"> If utilities are in conflict with the project and require relocation before construction, include the estimated date relocations will be completed</w:t>
      </w:r>
      <w:r>
        <w:rPr>
          <w:rFonts w:ascii="Times New Roman" w:eastAsia="MS Mincho" w:hAnsi="Times New Roman"/>
          <w:vanish/>
          <w:sz w:val="24"/>
          <w:szCs w:val="32"/>
        </w:rPr>
        <w:t xml:space="preserve"> in this Subsection</w:t>
      </w:r>
      <w:r w:rsidRPr="003F3F46">
        <w:rPr>
          <w:rFonts w:ascii="Times New Roman" w:eastAsia="MS Mincho" w:hAnsi="Times New Roman"/>
          <w:vanish/>
          <w:sz w:val="24"/>
          <w:szCs w:val="32"/>
        </w:rPr>
        <w:t xml:space="preserve">. Include any schedules and limits to construction </w:t>
      </w:r>
      <w:r w:rsidR="00E333BA">
        <w:rPr>
          <w:rFonts w:ascii="Times New Roman" w:eastAsia="MS Mincho" w:hAnsi="Times New Roman"/>
          <w:vanish/>
          <w:sz w:val="24"/>
          <w:szCs w:val="32"/>
        </w:rPr>
        <w:t>in</w:t>
      </w:r>
      <w:r w:rsidRPr="003F3F46">
        <w:rPr>
          <w:rFonts w:ascii="Times New Roman" w:eastAsia="MS Mincho" w:hAnsi="Times New Roman"/>
          <w:vanish/>
          <w:sz w:val="24"/>
          <w:szCs w:val="32"/>
        </w:rPr>
        <w:t xml:space="preserve"> Section 108.</w:t>
      </w:r>
    </w:p>
    <w:p w14:paraId="22105DE3" w14:textId="77777777" w:rsidR="009559D8" w:rsidRDefault="009559D8" w:rsidP="009559D8">
      <w:pPr>
        <w:pStyle w:val="BodyText"/>
        <w:spacing w:after="0"/>
        <w:jc w:val="center"/>
        <w:rPr>
          <w:b/>
          <w:bCs/>
        </w:rPr>
      </w:pPr>
      <w:r w:rsidRPr="00671B5A">
        <w:rPr>
          <w:b/>
          <w:bCs/>
        </w:rPr>
        <w:t>Table 107-</w:t>
      </w:r>
      <w:r>
        <w:rPr>
          <w:b/>
          <w:bCs/>
        </w:rPr>
        <w:t>2</w:t>
      </w:r>
    </w:p>
    <w:p w14:paraId="0913963F" w14:textId="68EE91F2" w:rsidR="009A1E32" w:rsidRPr="00C61B5A" w:rsidRDefault="009559D8" w:rsidP="009559D8">
      <w:pPr>
        <w:pStyle w:val="BodyText"/>
        <w:spacing w:after="0"/>
        <w:jc w:val="center"/>
        <w:rPr>
          <w:rFonts w:eastAsia="MS Mincho"/>
          <w:vanish/>
          <w:szCs w:val="32"/>
        </w:rPr>
      </w:pPr>
      <w:r w:rsidRPr="00671B5A">
        <w:rPr>
          <w:b/>
          <w:bCs/>
        </w:rPr>
        <w:t>Status of Utilities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1845"/>
        <w:gridCol w:w="2131"/>
        <w:gridCol w:w="2219"/>
        <w:gridCol w:w="1683"/>
        <w:gridCol w:w="1156"/>
      </w:tblGrid>
      <w:tr w:rsidR="005C3C05" w:rsidRPr="00E862BF" w14:paraId="28C4B676" w14:textId="77777777" w:rsidTr="009559D8">
        <w:trPr>
          <w:trHeight w:val="323"/>
          <w:jc w:val="center"/>
        </w:trPr>
        <w:tc>
          <w:tcPr>
            <w:tcW w:w="0" w:type="auto"/>
            <w:tcBorders>
              <w:top w:val="single" w:sz="4" w:space="0" w:color="auto"/>
            </w:tcBorders>
          </w:tcPr>
          <w:p w14:paraId="790A24E1" w14:textId="77777777" w:rsidR="005C3C05" w:rsidRPr="00671B5A" w:rsidRDefault="005C3C05" w:rsidP="00671B5A">
            <w:pPr>
              <w:pStyle w:val="BodyText"/>
              <w:rPr>
                <w:iCs/>
                <w:sz w:val="20"/>
              </w:rPr>
            </w:pPr>
          </w:p>
        </w:tc>
        <w:tc>
          <w:tcPr>
            <w:tcW w:w="1845" w:type="dxa"/>
            <w:tcBorders>
              <w:top w:val="single" w:sz="4" w:space="0" w:color="auto"/>
            </w:tcBorders>
            <w:vAlign w:val="center"/>
          </w:tcPr>
          <w:p w14:paraId="1535CF77" w14:textId="52AC080E" w:rsidR="005C3C05" w:rsidRPr="00671B5A" w:rsidRDefault="009A1E32" w:rsidP="00C61B5A">
            <w:pPr>
              <w:pStyle w:val="BodyText"/>
              <w:spacing w:after="0"/>
              <w:jc w:val="center"/>
              <w:rPr>
                <w:b/>
                <w:bCs/>
                <w:sz w:val="20"/>
              </w:rPr>
            </w:pPr>
            <w:r w:rsidRPr="00671B5A">
              <w:rPr>
                <w:b/>
                <w:bCs/>
                <w:iCs/>
                <w:sz w:val="20"/>
              </w:rPr>
              <w:t xml:space="preserve">Utility Type </w:t>
            </w:r>
          </w:p>
        </w:tc>
        <w:tc>
          <w:tcPr>
            <w:tcW w:w="2131" w:type="dxa"/>
            <w:tcBorders>
              <w:top w:val="single" w:sz="4" w:space="0" w:color="auto"/>
            </w:tcBorders>
            <w:vAlign w:val="center"/>
          </w:tcPr>
          <w:p w14:paraId="4C64C84B" w14:textId="2CBDE4BE" w:rsidR="005C3C05" w:rsidRPr="00671B5A" w:rsidRDefault="009A1E32" w:rsidP="00C61B5A">
            <w:pPr>
              <w:pStyle w:val="BodyText"/>
              <w:spacing w:after="0"/>
              <w:jc w:val="center"/>
              <w:rPr>
                <w:b/>
                <w:bCs/>
                <w:sz w:val="20"/>
              </w:rPr>
            </w:pPr>
            <w:r w:rsidRPr="00671B5A">
              <w:rPr>
                <w:b/>
                <w:bCs/>
                <w:iCs/>
                <w:sz w:val="20"/>
              </w:rPr>
              <w:t>Company</w:t>
            </w:r>
            <w:r w:rsidRPr="00671B5A" w:rsidDel="009A1E32">
              <w:rPr>
                <w:b/>
                <w:bCs/>
                <w:iCs/>
                <w:sz w:val="20"/>
              </w:rPr>
              <w:t xml:space="preserve"> </w:t>
            </w:r>
          </w:p>
        </w:tc>
        <w:tc>
          <w:tcPr>
            <w:tcW w:w="2219" w:type="dxa"/>
            <w:tcBorders>
              <w:top w:val="single" w:sz="4" w:space="0" w:color="auto"/>
            </w:tcBorders>
            <w:vAlign w:val="center"/>
          </w:tcPr>
          <w:p w14:paraId="5164CAB3" w14:textId="77777777" w:rsidR="005C3C05" w:rsidRPr="00671B5A" w:rsidRDefault="005C3C05" w:rsidP="00C61B5A">
            <w:pPr>
              <w:pStyle w:val="BodyText"/>
              <w:spacing w:after="0"/>
              <w:jc w:val="center"/>
              <w:rPr>
                <w:b/>
                <w:bCs/>
                <w:sz w:val="20"/>
              </w:rPr>
            </w:pPr>
            <w:r w:rsidRPr="00671B5A">
              <w:rPr>
                <w:b/>
                <w:bCs/>
                <w:iCs/>
                <w:sz w:val="20"/>
              </w:rPr>
              <w:t>Contact Name</w:t>
            </w:r>
          </w:p>
        </w:tc>
        <w:tc>
          <w:tcPr>
            <w:tcW w:w="1683" w:type="dxa"/>
            <w:tcBorders>
              <w:top w:val="single" w:sz="4" w:space="0" w:color="auto"/>
            </w:tcBorders>
            <w:vAlign w:val="center"/>
          </w:tcPr>
          <w:p w14:paraId="22C10C9F" w14:textId="562499BB" w:rsidR="005C3C05" w:rsidRPr="00671B5A" w:rsidRDefault="005C3C05" w:rsidP="00C61B5A">
            <w:pPr>
              <w:pStyle w:val="BodyText"/>
              <w:spacing w:after="0"/>
              <w:jc w:val="center"/>
              <w:rPr>
                <w:b/>
                <w:bCs/>
                <w:sz w:val="20"/>
              </w:rPr>
            </w:pPr>
            <w:r w:rsidRPr="00671B5A">
              <w:rPr>
                <w:b/>
                <w:bCs/>
                <w:iCs/>
                <w:sz w:val="20"/>
              </w:rPr>
              <w:t>Phone Number</w:t>
            </w:r>
            <w:r w:rsidR="005C2146">
              <w:rPr>
                <w:b/>
                <w:bCs/>
                <w:iCs/>
                <w:sz w:val="20"/>
              </w:rPr>
              <w:t xml:space="preserve"> / Email</w:t>
            </w:r>
          </w:p>
        </w:tc>
        <w:tc>
          <w:tcPr>
            <w:tcW w:w="1156" w:type="dxa"/>
            <w:tcBorders>
              <w:top w:val="single" w:sz="4" w:space="0" w:color="auto"/>
            </w:tcBorders>
            <w:vAlign w:val="center"/>
          </w:tcPr>
          <w:p w14:paraId="630DF033" w14:textId="49744ED7" w:rsidR="005C3C05" w:rsidRPr="00671B5A" w:rsidRDefault="005C3C05" w:rsidP="00C61B5A">
            <w:pPr>
              <w:pStyle w:val="BodyText"/>
              <w:spacing w:after="0"/>
              <w:jc w:val="center"/>
              <w:rPr>
                <w:b/>
                <w:bCs/>
                <w:sz w:val="20"/>
              </w:rPr>
            </w:pPr>
            <w:r w:rsidRPr="00671B5A">
              <w:rPr>
                <w:b/>
                <w:bCs/>
                <w:iCs/>
                <w:sz w:val="20"/>
              </w:rPr>
              <w:t>Status</w:t>
            </w:r>
            <w:r w:rsidR="001C3D67" w:rsidRPr="00C61B5A">
              <w:rPr>
                <w:b/>
                <w:bCs/>
                <w:iCs/>
                <w:sz w:val="20"/>
                <w:vertAlign w:val="superscript"/>
              </w:rPr>
              <w:t>(1)</w:t>
            </w:r>
          </w:p>
        </w:tc>
      </w:tr>
      <w:tr w:rsidR="005C3C05" w:rsidRPr="00E862BF" w14:paraId="3393BA3C" w14:textId="77777777" w:rsidTr="009559D8">
        <w:trPr>
          <w:trHeight w:val="288"/>
          <w:jc w:val="center"/>
        </w:trPr>
        <w:tc>
          <w:tcPr>
            <w:tcW w:w="0" w:type="auto"/>
            <w:vAlign w:val="center"/>
          </w:tcPr>
          <w:p w14:paraId="1D988FDB" w14:textId="77777777" w:rsidR="005C3C05" w:rsidRPr="00671B5A" w:rsidRDefault="005C3C05" w:rsidP="00671B5A">
            <w:pPr>
              <w:pStyle w:val="BodyText"/>
              <w:rPr>
                <w:sz w:val="20"/>
              </w:rPr>
            </w:pPr>
            <w:r w:rsidRPr="00671B5A">
              <w:rPr>
                <w:sz w:val="20"/>
              </w:rPr>
              <w:t>1</w:t>
            </w:r>
          </w:p>
        </w:tc>
        <w:tc>
          <w:tcPr>
            <w:tcW w:w="1845" w:type="dxa"/>
            <w:vAlign w:val="center"/>
          </w:tcPr>
          <w:p w14:paraId="00D386E0" w14:textId="00EB9A15" w:rsidR="005C3C05" w:rsidRPr="00AA417B" w:rsidRDefault="009A1E32" w:rsidP="00C61B5A">
            <w:pPr>
              <w:pStyle w:val="BodyText"/>
              <w:jc w:val="center"/>
              <w:rPr>
                <w:sz w:val="20"/>
              </w:rPr>
            </w:pPr>
            <w:r w:rsidRPr="00C61B5A">
              <w:rPr>
                <w:sz w:val="20"/>
                <w:highlight w:val="yellow"/>
              </w:rPr>
              <w:t>Utility type</w:t>
            </w:r>
          </w:p>
        </w:tc>
        <w:tc>
          <w:tcPr>
            <w:tcW w:w="2131" w:type="dxa"/>
            <w:vAlign w:val="center"/>
          </w:tcPr>
          <w:p w14:paraId="4DE9E956" w14:textId="3AD47E08" w:rsidR="005C3C05" w:rsidRPr="00AA417B" w:rsidRDefault="009A1E32" w:rsidP="00C61B5A">
            <w:pPr>
              <w:pStyle w:val="BodyText"/>
              <w:jc w:val="center"/>
              <w:rPr>
                <w:sz w:val="20"/>
              </w:rPr>
            </w:pPr>
            <w:r w:rsidRPr="00C61B5A">
              <w:rPr>
                <w:sz w:val="20"/>
                <w:highlight w:val="yellow"/>
              </w:rPr>
              <w:t>Company</w:t>
            </w:r>
          </w:p>
        </w:tc>
        <w:tc>
          <w:tcPr>
            <w:tcW w:w="2219" w:type="dxa"/>
            <w:vAlign w:val="center"/>
          </w:tcPr>
          <w:p w14:paraId="21A9574B" w14:textId="00A51B01" w:rsidR="005C3C05" w:rsidRPr="00AA417B" w:rsidRDefault="009A1E32" w:rsidP="00C61B5A">
            <w:pPr>
              <w:pStyle w:val="BodyText"/>
              <w:jc w:val="center"/>
              <w:rPr>
                <w:sz w:val="20"/>
              </w:rPr>
            </w:pPr>
            <w:r w:rsidRPr="00C61B5A">
              <w:rPr>
                <w:sz w:val="20"/>
                <w:highlight w:val="yellow"/>
              </w:rPr>
              <w:t>Name</w:t>
            </w:r>
          </w:p>
        </w:tc>
        <w:tc>
          <w:tcPr>
            <w:tcW w:w="1683" w:type="dxa"/>
            <w:vAlign w:val="center"/>
          </w:tcPr>
          <w:p w14:paraId="7886AF62" w14:textId="0FF21ABF" w:rsidR="00D87FA4" w:rsidRPr="00D85328" w:rsidRDefault="009A1E32" w:rsidP="00C61B5A">
            <w:pPr>
              <w:pStyle w:val="BodyText"/>
              <w:jc w:val="center"/>
              <w:rPr>
                <w:sz w:val="20"/>
              </w:rPr>
            </w:pPr>
            <w:r w:rsidRPr="00D85328">
              <w:rPr>
                <w:sz w:val="20"/>
                <w:highlight w:val="yellow"/>
              </w:rPr>
              <w:t>xxx-xxx-xxxx</w:t>
            </w:r>
            <w:r w:rsidR="00D87FA4" w:rsidRPr="00D85328">
              <w:rPr>
                <w:sz w:val="20"/>
              </w:rPr>
              <w:t xml:space="preserve"> </w:t>
            </w:r>
            <w:r w:rsidR="00D87FA4" w:rsidRPr="00D85328">
              <w:rPr>
                <w:sz w:val="20"/>
                <w:highlight w:val="yellow"/>
              </w:rPr>
              <w:t>/ email@email.com</w:t>
            </w:r>
          </w:p>
        </w:tc>
        <w:tc>
          <w:tcPr>
            <w:tcW w:w="1156" w:type="dxa"/>
            <w:vAlign w:val="center"/>
          </w:tcPr>
          <w:p w14:paraId="62034C51" w14:textId="0FFF4E83" w:rsidR="005C3C05" w:rsidRPr="00AA417B" w:rsidRDefault="001C3D67" w:rsidP="00C61B5A">
            <w:pPr>
              <w:pStyle w:val="BodyText"/>
              <w:jc w:val="center"/>
              <w:rPr>
                <w:sz w:val="20"/>
              </w:rPr>
            </w:pPr>
            <w:r w:rsidRPr="00AA417B">
              <w:rPr>
                <w:sz w:val="20"/>
                <w:highlight w:val="yellow"/>
              </w:rPr>
              <w:t xml:space="preserve">Select </w:t>
            </w:r>
            <w:r w:rsidR="009A1E32" w:rsidRPr="00C61B5A">
              <w:rPr>
                <w:sz w:val="20"/>
                <w:highlight w:val="yellow"/>
              </w:rPr>
              <w:t>1, 2, 3, or 4</w:t>
            </w:r>
          </w:p>
        </w:tc>
      </w:tr>
      <w:tr w:rsidR="00540EF9" w:rsidRPr="00E862BF" w14:paraId="2A48F227" w14:textId="77777777" w:rsidTr="009559D8">
        <w:trPr>
          <w:trHeight w:val="288"/>
          <w:jc w:val="center"/>
        </w:trPr>
        <w:tc>
          <w:tcPr>
            <w:tcW w:w="0" w:type="auto"/>
            <w:vAlign w:val="center"/>
          </w:tcPr>
          <w:p w14:paraId="455C5E79" w14:textId="77777777" w:rsidR="00540EF9" w:rsidRPr="00671B5A" w:rsidRDefault="00540EF9" w:rsidP="00540EF9">
            <w:pPr>
              <w:pStyle w:val="BodyText"/>
              <w:rPr>
                <w:sz w:val="20"/>
              </w:rPr>
            </w:pPr>
            <w:r w:rsidRPr="00671B5A">
              <w:rPr>
                <w:sz w:val="20"/>
              </w:rPr>
              <w:t>2</w:t>
            </w:r>
          </w:p>
        </w:tc>
        <w:tc>
          <w:tcPr>
            <w:tcW w:w="1845" w:type="dxa"/>
            <w:vAlign w:val="center"/>
          </w:tcPr>
          <w:p w14:paraId="03A11729" w14:textId="53A4567C" w:rsidR="00540EF9" w:rsidRPr="00AA417B" w:rsidRDefault="00540EF9" w:rsidP="00C61B5A">
            <w:pPr>
              <w:pStyle w:val="BodyText"/>
              <w:jc w:val="center"/>
              <w:rPr>
                <w:sz w:val="20"/>
              </w:rPr>
            </w:pPr>
            <w:r w:rsidRPr="00AA417B">
              <w:rPr>
                <w:sz w:val="20"/>
                <w:highlight w:val="yellow"/>
              </w:rPr>
              <w:t>Utility type</w:t>
            </w:r>
          </w:p>
        </w:tc>
        <w:tc>
          <w:tcPr>
            <w:tcW w:w="2131" w:type="dxa"/>
            <w:vAlign w:val="center"/>
          </w:tcPr>
          <w:p w14:paraId="56023325" w14:textId="6296B966" w:rsidR="00540EF9" w:rsidRPr="00AA417B" w:rsidRDefault="00540EF9" w:rsidP="00C61B5A">
            <w:pPr>
              <w:pStyle w:val="BodyText"/>
              <w:jc w:val="center"/>
              <w:rPr>
                <w:sz w:val="20"/>
              </w:rPr>
            </w:pPr>
            <w:r w:rsidRPr="00AA417B">
              <w:rPr>
                <w:sz w:val="20"/>
                <w:highlight w:val="yellow"/>
              </w:rPr>
              <w:t>Company</w:t>
            </w:r>
          </w:p>
        </w:tc>
        <w:tc>
          <w:tcPr>
            <w:tcW w:w="2219" w:type="dxa"/>
            <w:vAlign w:val="center"/>
          </w:tcPr>
          <w:p w14:paraId="2D70F593" w14:textId="4B535C8A" w:rsidR="00540EF9" w:rsidRPr="00AA417B" w:rsidRDefault="00540EF9" w:rsidP="00C61B5A">
            <w:pPr>
              <w:pStyle w:val="BodyText"/>
              <w:jc w:val="center"/>
              <w:rPr>
                <w:sz w:val="20"/>
              </w:rPr>
            </w:pPr>
            <w:r w:rsidRPr="00AA417B">
              <w:rPr>
                <w:sz w:val="20"/>
                <w:highlight w:val="yellow"/>
              </w:rPr>
              <w:t>Name</w:t>
            </w:r>
          </w:p>
        </w:tc>
        <w:tc>
          <w:tcPr>
            <w:tcW w:w="1683" w:type="dxa"/>
            <w:vAlign w:val="center"/>
          </w:tcPr>
          <w:p w14:paraId="6189C7CA" w14:textId="7D2DBC74" w:rsidR="00540EF9" w:rsidRPr="00D85328" w:rsidRDefault="00540EF9" w:rsidP="00C61B5A">
            <w:pPr>
              <w:pStyle w:val="BodyText"/>
              <w:jc w:val="center"/>
              <w:rPr>
                <w:sz w:val="20"/>
              </w:rPr>
            </w:pPr>
            <w:r w:rsidRPr="00D85328">
              <w:rPr>
                <w:sz w:val="20"/>
                <w:highlight w:val="yellow"/>
              </w:rPr>
              <w:t>xxx-xxx-xxxx</w:t>
            </w:r>
            <w:r w:rsidR="00D85328">
              <w:rPr>
                <w:sz w:val="20"/>
                <w:highlight w:val="yellow"/>
              </w:rPr>
              <w:t xml:space="preserve"> </w:t>
            </w:r>
            <w:r w:rsidR="00D87FA4" w:rsidRPr="00D85328">
              <w:rPr>
                <w:sz w:val="20"/>
                <w:highlight w:val="yellow"/>
              </w:rPr>
              <w:t>/ email@email.com</w:t>
            </w:r>
          </w:p>
        </w:tc>
        <w:tc>
          <w:tcPr>
            <w:tcW w:w="1156" w:type="dxa"/>
            <w:vAlign w:val="center"/>
          </w:tcPr>
          <w:p w14:paraId="7DC283D8" w14:textId="441145E5" w:rsidR="00540EF9" w:rsidRPr="00AA417B" w:rsidRDefault="00540EF9" w:rsidP="00C61B5A">
            <w:pPr>
              <w:pStyle w:val="BodyText"/>
              <w:jc w:val="center"/>
              <w:rPr>
                <w:sz w:val="20"/>
              </w:rPr>
            </w:pPr>
            <w:r w:rsidRPr="00AA417B">
              <w:rPr>
                <w:sz w:val="20"/>
                <w:highlight w:val="yellow"/>
              </w:rPr>
              <w:t>Select 1, 2, 3, or 4</w:t>
            </w:r>
          </w:p>
        </w:tc>
      </w:tr>
      <w:tr w:rsidR="00540EF9" w:rsidRPr="00E862BF" w14:paraId="6FDE8913" w14:textId="77777777" w:rsidTr="009559D8">
        <w:trPr>
          <w:trHeight w:val="288"/>
          <w:jc w:val="center"/>
        </w:trPr>
        <w:tc>
          <w:tcPr>
            <w:tcW w:w="0" w:type="auto"/>
            <w:vAlign w:val="center"/>
          </w:tcPr>
          <w:p w14:paraId="4B7E7F3C" w14:textId="77777777" w:rsidR="00540EF9" w:rsidRPr="00AA417B" w:rsidRDefault="00540EF9" w:rsidP="00540EF9">
            <w:pPr>
              <w:pStyle w:val="BodyText"/>
              <w:rPr>
                <w:sz w:val="20"/>
              </w:rPr>
            </w:pPr>
            <w:r w:rsidRPr="00AA417B">
              <w:rPr>
                <w:sz w:val="20"/>
              </w:rPr>
              <w:t>3</w:t>
            </w:r>
          </w:p>
        </w:tc>
        <w:tc>
          <w:tcPr>
            <w:tcW w:w="1845" w:type="dxa"/>
            <w:vAlign w:val="center"/>
          </w:tcPr>
          <w:p w14:paraId="4EE3FC0F" w14:textId="088F2681" w:rsidR="00540EF9" w:rsidRPr="00AA417B" w:rsidRDefault="00540EF9" w:rsidP="00C61B5A">
            <w:pPr>
              <w:pStyle w:val="BodyText"/>
              <w:jc w:val="center"/>
              <w:rPr>
                <w:sz w:val="20"/>
              </w:rPr>
            </w:pPr>
            <w:r w:rsidRPr="00AA417B">
              <w:rPr>
                <w:sz w:val="20"/>
                <w:highlight w:val="yellow"/>
              </w:rPr>
              <w:t>Utility type</w:t>
            </w:r>
          </w:p>
        </w:tc>
        <w:tc>
          <w:tcPr>
            <w:tcW w:w="2131" w:type="dxa"/>
            <w:vAlign w:val="center"/>
          </w:tcPr>
          <w:p w14:paraId="1B49AE6F" w14:textId="76C4D822" w:rsidR="00540EF9" w:rsidRPr="00AA417B" w:rsidRDefault="00540EF9" w:rsidP="00C61B5A">
            <w:pPr>
              <w:pStyle w:val="BodyText"/>
              <w:jc w:val="center"/>
              <w:rPr>
                <w:sz w:val="20"/>
              </w:rPr>
            </w:pPr>
            <w:r w:rsidRPr="00AA417B">
              <w:rPr>
                <w:sz w:val="20"/>
                <w:highlight w:val="yellow"/>
              </w:rPr>
              <w:t>Company</w:t>
            </w:r>
          </w:p>
        </w:tc>
        <w:tc>
          <w:tcPr>
            <w:tcW w:w="2219" w:type="dxa"/>
            <w:vAlign w:val="center"/>
          </w:tcPr>
          <w:p w14:paraId="74B589C6" w14:textId="78A4962C" w:rsidR="00540EF9" w:rsidRPr="00AA417B" w:rsidRDefault="00540EF9" w:rsidP="00C61B5A">
            <w:pPr>
              <w:pStyle w:val="BodyText"/>
              <w:jc w:val="center"/>
              <w:rPr>
                <w:sz w:val="20"/>
              </w:rPr>
            </w:pPr>
            <w:r w:rsidRPr="00AA417B">
              <w:rPr>
                <w:sz w:val="20"/>
                <w:highlight w:val="yellow"/>
              </w:rPr>
              <w:t>Name</w:t>
            </w:r>
          </w:p>
        </w:tc>
        <w:tc>
          <w:tcPr>
            <w:tcW w:w="1683" w:type="dxa"/>
            <w:vAlign w:val="center"/>
          </w:tcPr>
          <w:p w14:paraId="73736CA2" w14:textId="5EA3A2E1" w:rsidR="00540EF9" w:rsidRPr="00D85328" w:rsidRDefault="00540EF9" w:rsidP="00C61B5A">
            <w:pPr>
              <w:pStyle w:val="BodyText"/>
              <w:jc w:val="center"/>
              <w:rPr>
                <w:sz w:val="20"/>
              </w:rPr>
            </w:pPr>
            <w:r w:rsidRPr="00D85328">
              <w:rPr>
                <w:sz w:val="20"/>
                <w:highlight w:val="yellow"/>
              </w:rPr>
              <w:t>xxx-xxx-xxxx</w:t>
            </w:r>
            <w:r w:rsidR="00D85328">
              <w:rPr>
                <w:sz w:val="20"/>
                <w:highlight w:val="yellow"/>
              </w:rPr>
              <w:t xml:space="preserve"> </w:t>
            </w:r>
            <w:r w:rsidR="00D87FA4" w:rsidRPr="00D85328">
              <w:rPr>
                <w:sz w:val="20"/>
                <w:highlight w:val="yellow"/>
              </w:rPr>
              <w:t>/ email@email.com</w:t>
            </w:r>
          </w:p>
        </w:tc>
        <w:tc>
          <w:tcPr>
            <w:tcW w:w="1156" w:type="dxa"/>
            <w:vAlign w:val="center"/>
          </w:tcPr>
          <w:p w14:paraId="2E1B7EDC" w14:textId="7C5BA7FB" w:rsidR="00540EF9" w:rsidRPr="00AA417B" w:rsidRDefault="00540EF9" w:rsidP="00C61B5A">
            <w:pPr>
              <w:pStyle w:val="BodyText"/>
              <w:jc w:val="center"/>
              <w:rPr>
                <w:sz w:val="20"/>
              </w:rPr>
            </w:pPr>
            <w:r w:rsidRPr="00AA417B">
              <w:rPr>
                <w:sz w:val="20"/>
                <w:highlight w:val="yellow"/>
              </w:rPr>
              <w:t>Select 1, 2, 3, or 4</w:t>
            </w:r>
          </w:p>
        </w:tc>
      </w:tr>
      <w:tr w:rsidR="00540EF9" w:rsidRPr="00E862BF" w14:paraId="6D53EE49" w14:textId="77777777" w:rsidTr="009559D8">
        <w:trPr>
          <w:trHeight w:val="288"/>
          <w:jc w:val="center"/>
        </w:trPr>
        <w:tc>
          <w:tcPr>
            <w:tcW w:w="0" w:type="auto"/>
            <w:vAlign w:val="center"/>
          </w:tcPr>
          <w:p w14:paraId="473D7EDC" w14:textId="77777777" w:rsidR="00540EF9" w:rsidRPr="00AA417B" w:rsidRDefault="00540EF9" w:rsidP="00540EF9">
            <w:pPr>
              <w:pStyle w:val="BodyText"/>
              <w:rPr>
                <w:sz w:val="20"/>
              </w:rPr>
            </w:pPr>
            <w:r w:rsidRPr="00AA417B">
              <w:rPr>
                <w:sz w:val="20"/>
              </w:rPr>
              <w:lastRenderedPageBreak/>
              <w:t>4</w:t>
            </w:r>
          </w:p>
        </w:tc>
        <w:tc>
          <w:tcPr>
            <w:tcW w:w="1845" w:type="dxa"/>
            <w:vAlign w:val="center"/>
          </w:tcPr>
          <w:p w14:paraId="1D389990" w14:textId="0C2E3DB7" w:rsidR="00540EF9" w:rsidRPr="00AA417B" w:rsidRDefault="00540EF9" w:rsidP="00C61B5A">
            <w:pPr>
              <w:pStyle w:val="BodyText"/>
              <w:jc w:val="center"/>
              <w:rPr>
                <w:sz w:val="20"/>
              </w:rPr>
            </w:pPr>
            <w:r w:rsidRPr="00AA417B">
              <w:rPr>
                <w:sz w:val="20"/>
                <w:highlight w:val="yellow"/>
              </w:rPr>
              <w:t>Utility type</w:t>
            </w:r>
          </w:p>
        </w:tc>
        <w:tc>
          <w:tcPr>
            <w:tcW w:w="2131" w:type="dxa"/>
            <w:vAlign w:val="center"/>
          </w:tcPr>
          <w:p w14:paraId="1F67E269" w14:textId="65024309" w:rsidR="00540EF9" w:rsidRPr="00AA417B" w:rsidRDefault="00540EF9" w:rsidP="00C61B5A">
            <w:pPr>
              <w:pStyle w:val="BodyText"/>
              <w:jc w:val="center"/>
              <w:rPr>
                <w:sz w:val="20"/>
              </w:rPr>
            </w:pPr>
            <w:r w:rsidRPr="00AA417B">
              <w:rPr>
                <w:sz w:val="20"/>
                <w:highlight w:val="yellow"/>
              </w:rPr>
              <w:t>Company</w:t>
            </w:r>
          </w:p>
        </w:tc>
        <w:tc>
          <w:tcPr>
            <w:tcW w:w="2219" w:type="dxa"/>
            <w:vAlign w:val="center"/>
          </w:tcPr>
          <w:p w14:paraId="6F65995A" w14:textId="22D29AE5" w:rsidR="00540EF9" w:rsidRPr="00AA417B" w:rsidRDefault="00540EF9" w:rsidP="00C61B5A">
            <w:pPr>
              <w:pStyle w:val="BodyText"/>
              <w:jc w:val="center"/>
              <w:rPr>
                <w:sz w:val="20"/>
              </w:rPr>
            </w:pPr>
            <w:r w:rsidRPr="00AA417B">
              <w:rPr>
                <w:sz w:val="20"/>
                <w:highlight w:val="yellow"/>
              </w:rPr>
              <w:t>Name</w:t>
            </w:r>
          </w:p>
        </w:tc>
        <w:tc>
          <w:tcPr>
            <w:tcW w:w="1683" w:type="dxa"/>
            <w:vAlign w:val="center"/>
          </w:tcPr>
          <w:p w14:paraId="27B90F47" w14:textId="46AC6B94" w:rsidR="00540EF9" w:rsidRPr="00D85328" w:rsidRDefault="00540EF9" w:rsidP="00C61B5A">
            <w:pPr>
              <w:pStyle w:val="BodyText"/>
              <w:jc w:val="center"/>
              <w:rPr>
                <w:sz w:val="20"/>
              </w:rPr>
            </w:pPr>
            <w:r w:rsidRPr="00D85328">
              <w:rPr>
                <w:sz w:val="20"/>
                <w:highlight w:val="yellow"/>
              </w:rPr>
              <w:t>xxx-xxx-xxxx</w:t>
            </w:r>
            <w:r w:rsidR="00D85328">
              <w:rPr>
                <w:sz w:val="20"/>
                <w:highlight w:val="yellow"/>
              </w:rPr>
              <w:t xml:space="preserve"> </w:t>
            </w:r>
            <w:r w:rsidR="00D87FA4" w:rsidRPr="00D85328">
              <w:rPr>
                <w:sz w:val="20"/>
                <w:highlight w:val="yellow"/>
              </w:rPr>
              <w:t>/ email@email.com</w:t>
            </w:r>
          </w:p>
        </w:tc>
        <w:tc>
          <w:tcPr>
            <w:tcW w:w="1156" w:type="dxa"/>
            <w:vAlign w:val="center"/>
          </w:tcPr>
          <w:p w14:paraId="018BDAC2" w14:textId="319A505E" w:rsidR="00540EF9" w:rsidRPr="00AA417B" w:rsidRDefault="00540EF9" w:rsidP="00C61B5A">
            <w:pPr>
              <w:pStyle w:val="BodyText"/>
              <w:jc w:val="center"/>
              <w:rPr>
                <w:sz w:val="20"/>
              </w:rPr>
            </w:pPr>
            <w:r w:rsidRPr="00AA417B">
              <w:rPr>
                <w:sz w:val="20"/>
                <w:highlight w:val="yellow"/>
              </w:rPr>
              <w:t>Select 1, 2, 3, or 4</w:t>
            </w:r>
          </w:p>
        </w:tc>
      </w:tr>
      <w:tr w:rsidR="00540EF9" w:rsidRPr="00E862BF" w14:paraId="4C5C2FD7" w14:textId="77777777" w:rsidTr="009559D8">
        <w:trPr>
          <w:trHeight w:val="288"/>
          <w:jc w:val="center"/>
        </w:trPr>
        <w:tc>
          <w:tcPr>
            <w:tcW w:w="0" w:type="auto"/>
            <w:vAlign w:val="center"/>
          </w:tcPr>
          <w:p w14:paraId="47E94DFF" w14:textId="77777777" w:rsidR="00540EF9" w:rsidRPr="00AA417B" w:rsidRDefault="00540EF9" w:rsidP="00540EF9">
            <w:pPr>
              <w:pStyle w:val="BodyText"/>
              <w:rPr>
                <w:sz w:val="20"/>
              </w:rPr>
            </w:pPr>
            <w:r w:rsidRPr="00AA417B">
              <w:rPr>
                <w:sz w:val="20"/>
              </w:rPr>
              <w:t>5</w:t>
            </w:r>
          </w:p>
        </w:tc>
        <w:tc>
          <w:tcPr>
            <w:tcW w:w="1845" w:type="dxa"/>
            <w:vAlign w:val="center"/>
          </w:tcPr>
          <w:p w14:paraId="5C620F2B" w14:textId="28E30518" w:rsidR="00540EF9" w:rsidRPr="00AA417B" w:rsidRDefault="00540EF9" w:rsidP="00C61B5A">
            <w:pPr>
              <w:pStyle w:val="BodyText"/>
              <w:jc w:val="center"/>
              <w:rPr>
                <w:sz w:val="20"/>
              </w:rPr>
            </w:pPr>
            <w:r w:rsidRPr="00AA417B">
              <w:rPr>
                <w:sz w:val="20"/>
                <w:highlight w:val="yellow"/>
              </w:rPr>
              <w:t>Utility type</w:t>
            </w:r>
          </w:p>
        </w:tc>
        <w:tc>
          <w:tcPr>
            <w:tcW w:w="2131" w:type="dxa"/>
            <w:vAlign w:val="center"/>
          </w:tcPr>
          <w:p w14:paraId="38ECD52A" w14:textId="28472716" w:rsidR="00540EF9" w:rsidRPr="00AA417B" w:rsidRDefault="00540EF9" w:rsidP="00C61B5A">
            <w:pPr>
              <w:pStyle w:val="BodyText"/>
              <w:jc w:val="center"/>
              <w:rPr>
                <w:sz w:val="20"/>
              </w:rPr>
            </w:pPr>
            <w:r w:rsidRPr="00AA417B">
              <w:rPr>
                <w:sz w:val="20"/>
                <w:highlight w:val="yellow"/>
              </w:rPr>
              <w:t>Company</w:t>
            </w:r>
          </w:p>
        </w:tc>
        <w:tc>
          <w:tcPr>
            <w:tcW w:w="2219" w:type="dxa"/>
            <w:vAlign w:val="center"/>
          </w:tcPr>
          <w:p w14:paraId="70BA7F5A" w14:textId="4CB347C4" w:rsidR="00540EF9" w:rsidRPr="00AA417B" w:rsidRDefault="00540EF9" w:rsidP="00C61B5A">
            <w:pPr>
              <w:pStyle w:val="BodyText"/>
              <w:jc w:val="center"/>
              <w:rPr>
                <w:sz w:val="20"/>
              </w:rPr>
            </w:pPr>
            <w:r w:rsidRPr="00AA417B">
              <w:rPr>
                <w:sz w:val="20"/>
                <w:highlight w:val="yellow"/>
              </w:rPr>
              <w:t>Name</w:t>
            </w:r>
          </w:p>
        </w:tc>
        <w:tc>
          <w:tcPr>
            <w:tcW w:w="1683" w:type="dxa"/>
            <w:vAlign w:val="center"/>
          </w:tcPr>
          <w:p w14:paraId="3DB48A65" w14:textId="5FA7DE70" w:rsidR="00540EF9" w:rsidRPr="00D85328" w:rsidRDefault="00540EF9" w:rsidP="00C61B5A">
            <w:pPr>
              <w:pStyle w:val="BodyText"/>
              <w:jc w:val="center"/>
              <w:rPr>
                <w:sz w:val="20"/>
              </w:rPr>
            </w:pPr>
            <w:r w:rsidRPr="00D85328">
              <w:rPr>
                <w:sz w:val="20"/>
                <w:highlight w:val="yellow"/>
              </w:rPr>
              <w:t>xxx-xxx-xxxx</w:t>
            </w:r>
            <w:r w:rsidR="00D85328">
              <w:rPr>
                <w:sz w:val="20"/>
                <w:highlight w:val="yellow"/>
              </w:rPr>
              <w:t xml:space="preserve"> </w:t>
            </w:r>
            <w:r w:rsidR="00D87FA4" w:rsidRPr="00D85328">
              <w:rPr>
                <w:sz w:val="20"/>
                <w:highlight w:val="yellow"/>
              </w:rPr>
              <w:t>/ email@email.com</w:t>
            </w:r>
          </w:p>
        </w:tc>
        <w:tc>
          <w:tcPr>
            <w:tcW w:w="1156" w:type="dxa"/>
            <w:vAlign w:val="center"/>
          </w:tcPr>
          <w:p w14:paraId="522E1158" w14:textId="49EF3857" w:rsidR="00540EF9" w:rsidRPr="00AA417B" w:rsidRDefault="00540EF9" w:rsidP="00C61B5A">
            <w:pPr>
              <w:pStyle w:val="BodyText"/>
              <w:jc w:val="center"/>
              <w:rPr>
                <w:sz w:val="20"/>
              </w:rPr>
            </w:pPr>
            <w:r w:rsidRPr="00AA417B">
              <w:rPr>
                <w:sz w:val="20"/>
                <w:highlight w:val="yellow"/>
              </w:rPr>
              <w:t>Select 1, 2, 3, or 4</w:t>
            </w:r>
          </w:p>
        </w:tc>
      </w:tr>
    </w:tbl>
    <w:p w14:paraId="077F696A" w14:textId="7101B9F4" w:rsidR="005C3C05" w:rsidRPr="00C61B5A" w:rsidRDefault="001C3D67" w:rsidP="005C3C05">
      <w:pPr>
        <w:pStyle w:val="PlainText"/>
        <w:rPr>
          <w:rFonts w:ascii="Times New Roman" w:eastAsia="MS Mincho" w:hAnsi="Times New Roman"/>
        </w:rPr>
      </w:pPr>
      <w:r w:rsidRPr="00C61B5A">
        <w:rPr>
          <w:rFonts w:ascii="Times New Roman" w:eastAsia="MS Mincho" w:hAnsi="Times New Roman"/>
        </w:rPr>
        <w:t xml:space="preserve">(1) </w:t>
      </w:r>
      <w:r w:rsidR="009A1E32" w:rsidRPr="00C61B5A">
        <w:rPr>
          <w:rFonts w:ascii="Times New Roman" w:eastAsia="MS Mincho" w:hAnsi="Times New Roman"/>
        </w:rPr>
        <w:t>Status is defined as follows</w:t>
      </w:r>
      <w:r>
        <w:rPr>
          <w:rFonts w:ascii="Times New Roman" w:eastAsia="MS Mincho" w:hAnsi="Times New Roman"/>
        </w:rPr>
        <w:t>:</w:t>
      </w:r>
    </w:p>
    <w:p w14:paraId="76E361C2" w14:textId="26FD49BA" w:rsidR="005C3C05" w:rsidRPr="00C61B5A" w:rsidRDefault="005C3C05" w:rsidP="00C61B5A">
      <w:pPr>
        <w:pStyle w:val="BodyText"/>
        <w:spacing w:after="0"/>
        <w:ind w:left="270"/>
        <w:rPr>
          <w:sz w:val="20"/>
          <w:szCs w:val="16"/>
        </w:rPr>
      </w:pPr>
      <w:r w:rsidRPr="00C61B5A">
        <w:rPr>
          <w:sz w:val="20"/>
          <w:szCs w:val="16"/>
        </w:rPr>
        <w:t>Status 1: The utilities are in conflict with the project and require relocation by others during construction.</w:t>
      </w:r>
    </w:p>
    <w:p w14:paraId="1BEA645E" w14:textId="571219CD" w:rsidR="005C3C05" w:rsidRPr="00C61B5A" w:rsidRDefault="005C3C05" w:rsidP="00C61B5A">
      <w:pPr>
        <w:pStyle w:val="BodyText"/>
        <w:spacing w:after="0"/>
        <w:ind w:left="270"/>
        <w:rPr>
          <w:sz w:val="20"/>
          <w:szCs w:val="16"/>
        </w:rPr>
      </w:pPr>
      <w:r w:rsidRPr="00C61B5A">
        <w:rPr>
          <w:sz w:val="20"/>
          <w:szCs w:val="16"/>
        </w:rPr>
        <w:t>Status 2: The utilities are in conflict with the project and require relocation by the Contractor during construction.</w:t>
      </w:r>
    </w:p>
    <w:p w14:paraId="4311CC7C" w14:textId="46A2AA26" w:rsidR="005C3C05" w:rsidRPr="00C61B5A" w:rsidRDefault="005C3C05" w:rsidP="00C61B5A">
      <w:pPr>
        <w:pStyle w:val="BodyText"/>
        <w:spacing w:after="0"/>
        <w:ind w:left="270"/>
        <w:rPr>
          <w:sz w:val="20"/>
          <w:szCs w:val="16"/>
        </w:rPr>
      </w:pPr>
      <w:r w:rsidRPr="00C61B5A">
        <w:rPr>
          <w:sz w:val="20"/>
          <w:szCs w:val="16"/>
        </w:rPr>
        <w:t>Status 3: The utilities are in conflict with the project and require relocation by others before construction.</w:t>
      </w:r>
    </w:p>
    <w:p w14:paraId="1CDE86EB" w14:textId="169AAF7D" w:rsidR="005C3C05" w:rsidRDefault="005C3C05" w:rsidP="00C61B5A">
      <w:pPr>
        <w:pStyle w:val="BodyText"/>
        <w:ind w:left="270"/>
        <w:rPr>
          <w:sz w:val="20"/>
          <w:szCs w:val="16"/>
        </w:rPr>
      </w:pPr>
      <w:r w:rsidRPr="00C61B5A">
        <w:rPr>
          <w:sz w:val="20"/>
          <w:szCs w:val="16"/>
        </w:rPr>
        <w:t>Status 4: The utilities are located within the project right</w:t>
      </w:r>
      <w:r w:rsidR="00540EF9">
        <w:rPr>
          <w:sz w:val="20"/>
          <w:szCs w:val="16"/>
        </w:rPr>
        <w:t>-</w:t>
      </w:r>
      <w:r w:rsidRPr="00C61B5A">
        <w:rPr>
          <w:sz w:val="20"/>
          <w:szCs w:val="16"/>
        </w:rPr>
        <w:t>of</w:t>
      </w:r>
      <w:r w:rsidR="00540EF9">
        <w:rPr>
          <w:sz w:val="20"/>
          <w:szCs w:val="16"/>
        </w:rPr>
        <w:t>-</w:t>
      </w:r>
      <w:r w:rsidRPr="00C61B5A">
        <w:rPr>
          <w:sz w:val="20"/>
          <w:szCs w:val="16"/>
        </w:rPr>
        <w:t>way but require no relocation.</w:t>
      </w:r>
    </w:p>
    <w:p w14:paraId="1FE7E190" w14:textId="1DC51A4C"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t>Use on all projects.</w:t>
      </w:r>
    </w:p>
    <w:p w14:paraId="151BF27A" w14:textId="558EC4F2" w:rsidR="005C3C05" w:rsidRPr="00671B5A" w:rsidRDefault="005C3C05" w:rsidP="00671B5A">
      <w:pPr>
        <w:pStyle w:val="BodyText"/>
        <w:rPr>
          <w:b/>
          <w:u w:val="single"/>
        </w:rPr>
      </w:pPr>
      <w:r w:rsidRPr="003B0E66">
        <w:rPr>
          <w:b/>
        </w:rPr>
        <w:t>107.05 Responsibility for Damage Claims</w:t>
      </w:r>
      <w:r w:rsidRPr="00AC5CC8">
        <w:rPr>
          <w:b/>
        </w:rPr>
        <w:t>.</w:t>
      </w:r>
      <w:r>
        <w:rPr>
          <w:b/>
        </w:rPr>
        <w:t xml:space="preserve"> </w:t>
      </w:r>
      <w:r w:rsidRPr="00671B5A">
        <w:rPr>
          <w:u w:val="single"/>
        </w:rPr>
        <w:t>Delete the first sentence of the third paragraph and substitute the following:</w:t>
      </w:r>
    </w:p>
    <w:p w14:paraId="6C31F0E2" w14:textId="76D7573E" w:rsidR="005C3C05" w:rsidRDefault="005C3C05" w:rsidP="00671B5A">
      <w:pPr>
        <w:pStyle w:val="BodyText"/>
        <w:rPr>
          <w:rFonts w:eastAsia="MS Mincho"/>
        </w:rPr>
      </w:pPr>
      <w:r>
        <w:rPr>
          <w:rFonts w:eastAsia="MS Mincho"/>
        </w:rPr>
        <w:t>Before work starts, submit “</w:t>
      </w:r>
      <w:r w:rsidRPr="00392A98">
        <w:rPr>
          <w:rFonts w:eastAsia="MS Mincho"/>
          <w:i/>
        </w:rPr>
        <w:t>certificates of insurance</w:t>
      </w:r>
      <w:r>
        <w:rPr>
          <w:rFonts w:eastAsia="MS Mincho"/>
        </w:rPr>
        <w:t xml:space="preserve">” certifying that the policies will </w:t>
      </w:r>
      <w:r w:rsidRPr="003B0E66">
        <w:rPr>
          <w:rFonts w:eastAsia="MS Mincho"/>
        </w:rPr>
        <w:t>not be changed or canceled until 30 days</w:t>
      </w:r>
      <w:r>
        <w:rPr>
          <w:rFonts w:eastAsia="MS Mincho"/>
        </w:rPr>
        <w:t>’</w:t>
      </w:r>
      <w:r w:rsidRPr="003B0E66">
        <w:rPr>
          <w:rFonts w:eastAsia="MS Mincho"/>
        </w:rPr>
        <w:t xml:space="preserve"> written notice </w:t>
      </w:r>
      <w:r>
        <w:rPr>
          <w:rFonts w:eastAsia="MS Mincho"/>
        </w:rPr>
        <w:t>has been given to the Government</w:t>
      </w:r>
      <w:r w:rsidRPr="003B0E66">
        <w:rPr>
          <w:rFonts w:eastAsia="MS Mincho"/>
        </w:rPr>
        <w:t>.</w:t>
      </w:r>
    </w:p>
    <w:p w14:paraId="44DDEDB6" w14:textId="77777777" w:rsidR="00592676" w:rsidRDefault="00592676" w:rsidP="00671B5A">
      <w:pPr>
        <w:pStyle w:val="BodyText"/>
      </w:pPr>
      <w:r>
        <w:rPr>
          <w:b/>
        </w:rPr>
        <w:t xml:space="preserve">107.08 Sanitation, Health, and Safety. </w:t>
      </w:r>
      <w:r w:rsidRPr="00671B5A">
        <w:rPr>
          <w:u w:val="single"/>
        </w:rPr>
        <w:t>Delete the first paragraph and substitute the following:</w:t>
      </w:r>
    </w:p>
    <w:p w14:paraId="10F545C6" w14:textId="77777777" w:rsidR="00592676" w:rsidRPr="00201568" w:rsidRDefault="00592676" w:rsidP="00671B5A">
      <w:pPr>
        <w:pStyle w:val="BodyText"/>
        <w:rPr>
          <w:rFonts w:eastAsia="MS Mincho"/>
        </w:rPr>
      </w:pPr>
      <w:r w:rsidRPr="00201568">
        <w:rPr>
          <w:rFonts w:eastAsia="MS Mincho"/>
        </w:rPr>
        <w:t>Follow the requirements of FAR Clause 52.236-13 Accident Prevention, Alternate 1. Submit an accident prevention plan.</w:t>
      </w:r>
    </w:p>
    <w:p w14:paraId="4364CBA3" w14:textId="1915F85F" w:rsidR="001E2BB4" w:rsidRPr="00E862BF" w:rsidRDefault="001E2BB4" w:rsidP="00C61B5A">
      <w:pPr>
        <w:pStyle w:val="BodyText"/>
        <w:rPr>
          <w:color w:val="000000"/>
          <w:u w:val="single"/>
        </w:rPr>
      </w:pPr>
      <w:r w:rsidRPr="00671B5A">
        <w:rPr>
          <w:b/>
          <w:bCs/>
        </w:rPr>
        <w:t>107.10</w:t>
      </w:r>
      <w:r w:rsidRPr="00671B5A">
        <w:rPr>
          <w:b/>
          <w:bCs/>
          <w:color w:val="000000"/>
        </w:rPr>
        <w:t>(a) Federal Water Pollution Control Act (Clean Water Act) 33 USC § 1251 et seq.</w:t>
      </w:r>
      <w:r w:rsidRPr="00E862BF">
        <w:rPr>
          <w:color w:val="000000"/>
        </w:rPr>
        <w:t xml:space="preserve"> </w:t>
      </w:r>
      <w:r w:rsidRPr="00E862BF">
        <w:rPr>
          <w:color w:val="000000"/>
          <w:u w:val="single"/>
        </w:rPr>
        <w:t>Add the following:</w:t>
      </w:r>
    </w:p>
    <w:p w14:paraId="47D8A7C2" w14:textId="6F46445C" w:rsidR="001E2BB4" w:rsidRDefault="001E2BB4" w:rsidP="003F3414">
      <w:pPr>
        <w:pStyle w:val="BodyText"/>
        <w:ind w:left="720"/>
        <w:rPr>
          <w:highlight w:val="cyan"/>
        </w:rPr>
      </w:pPr>
      <w:r w:rsidRPr="00671B5A">
        <w:rPr>
          <w:rFonts w:eastAsia="MS Mincho"/>
          <w:b/>
          <w:bCs/>
        </w:rPr>
        <w:t>(4)</w:t>
      </w:r>
      <w:r w:rsidRPr="00E862BF">
        <w:rPr>
          <w:rFonts w:eastAsia="MS Mincho"/>
        </w:rPr>
        <w:t xml:space="preserve"> </w:t>
      </w:r>
      <w:r w:rsidR="00574D13">
        <w:rPr>
          <w:rFonts w:eastAsia="MS Mincho"/>
          <w:szCs w:val="24"/>
        </w:rPr>
        <w:t>Do not f</w:t>
      </w:r>
      <w:r w:rsidR="00574D13" w:rsidRPr="00E862BF">
        <w:rPr>
          <w:rFonts w:eastAsia="MS Mincho"/>
          <w:szCs w:val="24"/>
        </w:rPr>
        <w:t xml:space="preserve">ord running streams with construction equipment. </w:t>
      </w:r>
      <w:r w:rsidRPr="00E862BF">
        <w:rPr>
          <w:rFonts w:eastAsia="MS Mincho"/>
        </w:rPr>
        <w:t>Obtain approval from the CO to use temporary bridges or other structures whenever crossings are necessary.</w:t>
      </w:r>
    </w:p>
    <w:p w14:paraId="5DA8A88C" w14:textId="18097110" w:rsidR="001E2BB4" w:rsidRPr="00E862BF" w:rsidRDefault="001E2BB4" w:rsidP="00671B5A">
      <w:pPr>
        <w:pStyle w:val="BodyText"/>
        <w:ind w:left="720"/>
        <w:rPr>
          <w:color w:val="000000"/>
          <w:u w:val="single"/>
        </w:rPr>
      </w:pPr>
      <w:r w:rsidRPr="00671B5A">
        <w:rPr>
          <w:b/>
          <w:bCs/>
        </w:rPr>
        <w:t>(</w:t>
      </w:r>
      <w:r w:rsidR="00741630">
        <w:rPr>
          <w:b/>
          <w:bCs/>
        </w:rPr>
        <w:t>5</w:t>
      </w:r>
      <w:r w:rsidRPr="00671B5A">
        <w:rPr>
          <w:b/>
          <w:bCs/>
        </w:rPr>
        <w:t>)</w:t>
      </w:r>
      <w:r>
        <w:t xml:space="preserve"> </w:t>
      </w:r>
      <w:r w:rsidRPr="00095A0F">
        <w:t>Locate machinery servicing and refueling areas away from stream</w:t>
      </w:r>
      <w:r w:rsidR="00741630">
        <w:t xml:space="preserve">banks, wetlands, shorelines, lakes, and reservoirs </w:t>
      </w:r>
      <w:r w:rsidRPr="00095A0F">
        <w:t xml:space="preserve">to reduce the possibility and minimize the impacts of accidental spills or </w:t>
      </w:r>
      <w:r w:rsidRPr="00095A0F">
        <w:rPr>
          <w:rFonts w:eastAsia="MS Mincho"/>
        </w:rPr>
        <w:t>discharges</w:t>
      </w:r>
      <w:r>
        <w:rPr>
          <w:rFonts w:eastAsia="MS Mincho"/>
        </w:rPr>
        <w:t>.</w:t>
      </w:r>
    </w:p>
    <w:p w14:paraId="28C70A72" w14:textId="77777777" w:rsidR="00E90715" w:rsidRPr="007209FC" w:rsidRDefault="00E90715" w:rsidP="00E90715">
      <w:pPr>
        <w:pStyle w:val="BodyText"/>
        <w:rPr>
          <w:color w:val="000000"/>
          <w:u w:val="single"/>
        </w:rPr>
      </w:pPr>
      <w:r>
        <w:rPr>
          <w:b/>
          <w:bCs/>
        </w:rPr>
        <w:t>107.10</w:t>
      </w:r>
      <w:r w:rsidRPr="00671B5A">
        <w:rPr>
          <w:b/>
          <w:bCs/>
        </w:rPr>
        <w:t>(b) Oil and hazardous substances.</w:t>
      </w:r>
      <w:r w:rsidRPr="00E862BF">
        <w:t xml:space="preserve"> </w:t>
      </w:r>
      <w:r w:rsidRPr="007209FC">
        <w:rPr>
          <w:u w:val="single"/>
        </w:rPr>
        <w:t xml:space="preserve">Delete the </w:t>
      </w:r>
      <w:r w:rsidRPr="007209FC">
        <w:rPr>
          <w:color w:val="000000"/>
          <w:u w:val="single"/>
        </w:rPr>
        <w:t xml:space="preserve">third </w:t>
      </w:r>
      <w:r>
        <w:rPr>
          <w:color w:val="000000"/>
          <w:u w:val="single"/>
        </w:rPr>
        <w:t xml:space="preserve">and fourth </w:t>
      </w:r>
      <w:r w:rsidRPr="007209FC">
        <w:rPr>
          <w:color w:val="000000"/>
          <w:u w:val="single"/>
        </w:rPr>
        <w:t>paragraph</w:t>
      </w:r>
      <w:r>
        <w:rPr>
          <w:color w:val="000000"/>
          <w:u w:val="single"/>
        </w:rPr>
        <w:t>s and substitute the following</w:t>
      </w:r>
      <w:r w:rsidRPr="007209FC">
        <w:rPr>
          <w:color w:val="000000"/>
          <w:u w:val="single"/>
        </w:rPr>
        <w:t>:</w:t>
      </w:r>
    </w:p>
    <w:p w14:paraId="76E87F1E" w14:textId="77777777" w:rsidR="00E90715" w:rsidRPr="007209FC" w:rsidRDefault="00E90715" w:rsidP="00E90715">
      <w:pPr>
        <w:pStyle w:val="BodyText"/>
        <w:ind w:left="360"/>
      </w:pPr>
      <w:r w:rsidRPr="007209FC">
        <w:t>Do not use equipment with leaking fluids. Repair equipment leaks immediately. Keep absorbent material manufactured for containment and cleanup of hazardous material on the job site. Sand and soils are not approved absorbent materials.</w:t>
      </w:r>
    </w:p>
    <w:p w14:paraId="50619B95" w14:textId="77777777" w:rsidR="00E90715" w:rsidRDefault="00E90715" w:rsidP="00E90715">
      <w:pPr>
        <w:pStyle w:val="BodyText"/>
        <w:ind w:left="360"/>
        <w:rPr>
          <w:rFonts w:eastAsia="MS Mincho"/>
        </w:rPr>
      </w:pPr>
      <w:r w:rsidRPr="007209FC">
        <w:rPr>
          <w:rFonts w:eastAsia="MS Mincho"/>
        </w:rPr>
        <w:t>Notify the CO of hazardous spills. Report the spill to the appropriate federal, state, and local authorities as required by the SPCC plan or hazardous spill plan.</w:t>
      </w:r>
    </w:p>
    <w:p w14:paraId="57666BB2" w14:textId="0692F57F" w:rsidR="009F622A" w:rsidRPr="00C61B5A" w:rsidRDefault="00E333BA"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strike/>
          <w:vanish/>
          <w:sz w:val="24"/>
          <w:szCs w:val="32"/>
        </w:rPr>
      </w:pPr>
      <w:r w:rsidRPr="00C61B5A">
        <w:rPr>
          <w:rFonts w:ascii="Times New Roman" w:eastAsia="MS Mincho" w:hAnsi="Times New Roman"/>
          <w:vanish/>
          <w:sz w:val="24"/>
          <w:szCs w:val="32"/>
        </w:rPr>
        <w:t>Use on all projects</w:t>
      </w:r>
      <w:r>
        <w:rPr>
          <w:rFonts w:ascii="Times New Roman" w:eastAsia="MS Mincho" w:hAnsi="Times New Roman"/>
          <w:vanish/>
          <w:sz w:val="24"/>
          <w:szCs w:val="32"/>
        </w:rPr>
        <w:t>.</w:t>
      </w:r>
    </w:p>
    <w:p w14:paraId="5709B46D" w14:textId="679C6D12" w:rsidR="00296D06" w:rsidRPr="00BF592F" w:rsidRDefault="003F3414" w:rsidP="00C61B5A">
      <w:pPr>
        <w:pStyle w:val="BodyText"/>
      </w:pPr>
      <w:r>
        <w:rPr>
          <w:b/>
          <w:bCs/>
        </w:rPr>
        <w:t>107.10</w:t>
      </w:r>
      <w:r w:rsidR="00296D06" w:rsidRPr="00671B5A">
        <w:rPr>
          <w:b/>
          <w:bCs/>
        </w:rPr>
        <w:t>(c) Dirt, plant, and foreign material.</w:t>
      </w:r>
      <w:r w:rsidR="00296D06" w:rsidRPr="00BF592F">
        <w:t xml:space="preserve"> </w:t>
      </w:r>
      <w:r w:rsidR="00296D06" w:rsidRPr="00BF592F">
        <w:rPr>
          <w:u w:val="single"/>
        </w:rPr>
        <w:t>Add the following:</w:t>
      </w:r>
    </w:p>
    <w:p w14:paraId="4917911A" w14:textId="77777777" w:rsidR="00E90715" w:rsidRDefault="00E90715" w:rsidP="00E90715">
      <w:pPr>
        <w:pStyle w:val="BodyText"/>
        <w:ind w:left="360"/>
        <w:rPr>
          <w:rFonts w:eastAsia="MS Mincho"/>
        </w:rPr>
      </w:pPr>
      <w:r w:rsidRPr="008B08BC">
        <w:rPr>
          <w:rFonts w:eastAsia="MS Mincho"/>
        </w:rPr>
        <w:lastRenderedPageBreak/>
        <w:t xml:space="preserve">All vehicles and equipment entering the project area must be clean of noxious weeds and free from oil leaks and are subject to inspection. </w:t>
      </w:r>
      <w:r>
        <w:rPr>
          <w:rFonts w:eastAsia="MS Mincho"/>
        </w:rPr>
        <w:t>Thoroughly w</w:t>
      </w:r>
      <w:r w:rsidRPr="008B08BC">
        <w:rPr>
          <w:rFonts w:eastAsia="MS Mincho"/>
        </w:rPr>
        <w:t>ash construction equipment</w:t>
      </w:r>
      <w:r>
        <w:rPr>
          <w:rFonts w:eastAsia="MS Mincho"/>
        </w:rPr>
        <w:t xml:space="preserve">, including the undercarriage and any surface where </w:t>
      </w:r>
      <w:r w:rsidRPr="008B08BC">
        <w:rPr>
          <w:rFonts w:eastAsia="MS Mincho"/>
        </w:rPr>
        <w:t>soil containing exotic seeds may exist. Allow the CO to inspect each piece of equipment before entering the project. Provide the cleaning and inspection records to the CO</w:t>
      </w:r>
      <w:r>
        <w:rPr>
          <w:rFonts w:eastAsia="MS Mincho"/>
        </w:rPr>
        <w:t>.</w:t>
      </w:r>
    </w:p>
    <w:p w14:paraId="0A9C121C" w14:textId="77777777"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t>Use on all projects.</w:t>
      </w:r>
    </w:p>
    <w:p w14:paraId="14F20FD9" w14:textId="553DD2BC" w:rsidR="00296D06" w:rsidRDefault="003F3414" w:rsidP="00C61B5A">
      <w:pPr>
        <w:pStyle w:val="BodyText"/>
      </w:pPr>
      <w:r>
        <w:rPr>
          <w:b/>
          <w:bCs/>
        </w:rPr>
        <w:t>107.10</w:t>
      </w:r>
      <w:r w:rsidR="00296D06" w:rsidRPr="00671B5A">
        <w:rPr>
          <w:b/>
          <w:bCs/>
        </w:rPr>
        <w:t>(d) Clearances for Contractor-selected, noncommercial areas.</w:t>
      </w:r>
      <w:r w:rsidR="00296D06">
        <w:t xml:space="preserve"> </w:t>
      </w:r>
      <w:r w:rsidR="00296D06">
        <w:rPr>
          <w:u w:val="single"/>
        </w:rPr>
        <w:t>Add the following to the end of the first paragraph:</w:t>
      </w:r>
    </w:p>
    <w:p w14:paraId="2556AC0F" w14:textId="6D4B3111" w:rsidR="00296D06" w:rsidRDefault="00296D06" w:rsidP="00671B5A">
      <w:pPr>
        <w:pStyle w:val="BodyText"/>
        <w:ind w:left="360"/>
      </w:pPr>
      <w:r>
        <w:t>Use rock, sand, gravel, earth, subsoil, or other natural materials from a Contractor-selected non-commercial materials source that has been certified free of noxious weeds. Materials imported into the project limits which do not include a noxious weed free certification may be rejected and ordered to be removed from the project limits. The CO has the discretion of requesting inspection of certified materials by a third party and rejecting the use of the source if noxious weeds or seeds thereof are found to be present.</w:t>
      </w:r>
    </w:p>
    <w:p w14:paraId="09138615" w14:textId="16AA058A" w:rsidR="00296D06" w:rsidRPr="004663C9" w:rsidRDefault="00296D06" w:rsidP="00671B5A">
      <w:pPr>
        <w:pStyle w:val="BodyText"/>
        <w:ind w:left="360"/>
      </w:pPr>
      <w:r>
        <w:rPr>
          <w:u w:val="single"/>
        </w:rPr>
        <w:t>Add the following</w:t>
      </w:r>
      <w:r w:rsidR="00ED3E84">
        <w:rPr>
          <w:u w:val="single"/>
        </w:rPr>
        <w:t xml:space="preserve"> after </w:t>
      </w:r>
      <w:r w:rsidR="00846E46">
        <w:rPr>
          <w:u w:val="single"/>
        </w:rPr>
        <w:t>Subsection</w:t>
      </w:r>
      <w:r w:rsidR="00ED3E84">
        <w:rPr>
          <w:u w:val="single"/>
        </w:rPr>
        <w:t xml:space="preserve"> (4)</w:t>
      </w:r>
      <w:r>
        <w:t>:</w:t>
      </w:r>
    </w:p>
    <w:p w14:paraId="4D0B83CF" w14:textId="576530EB" w:rsidR="00296D06" w:rsidRPr="00671B5A" w:rsidRDefault="00296D06" w:rsidP="00671B5A">
      <w:pPr>
        <w:pStyle w:val="BodyText"/>
        <w:ind w:left="720"/>
        <w:rPr>
          <w:b/>
          <w:bCs/>
        </w:rPr>
      </w:pPr>
      <w:r w:rsidRPr="00671B5A">
        <w:rPr>
          <w:b/>
          <w:bCs/>
        </w:rPr>
        <w:t xml:space="preserve">(5) Any required </w:t>
      </w:r>
      <w:r w:rsidR="00ED3E84">
        <w:rPr>
          <w:b/>
          <w:bCs/>
        </w:rPr>
        <w:t>c</w:t>
      </w:r>
      <w:r w:rsidR="00ED3E84" w:rsidRPr="00671B5A">
        <w:rPr>
          <w:b/>
          <w:bCs/>
        </w:rPr>
        <w:t>ertifications</w:t>
      </w:r>
      <w:r w:rsidRPr="00671B5A">
        <w:rPr>
          <w:b/>
          <w:bCs/>
        </w:rPr>
        <w:t>.</w:t>
      </w:r>
    </w:p>
    <w:p w14:paraId="1C74D3D5" w14:textId="55DC7535"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t>Add any project</w:t>
      </w:r>
      <w:r w:rsidR="00BF3024">
        <w:rPr>
          <w:rFonts w:ascii="Times New Roman" w:eastAsia="MS Mincho" w:hAnsi="Times New Roman"/>
          <w:vanish/>
          <w:sz w:val="24"/>
          <w:szCs w:val="32"/>
        </w:rPr>
        <w:t>-</w:t>
      </w:r>
      <w:r w:rsidRPr="00C61B5A">
        <w:rPr>
          <w:rFonts w:ascii="Times New Roman" w:eastAsia="MS Mincho" w:hAnsi="Times New Roman"/>
          <w:vanish/>
          <w:sz w:val="24"/>
          <w:szCs w:val="32"/>
        </w:rPr>
        <w:t>specific environmental commitments due to legal requirements</w:t>
      </w:r>
      <w:r w:rsidR="001A4850">
        <w:rPr>
          <w:rFonts w:ascii="Times New Roman" w:eastAsia="MS Mincho" w:hAnsi="Times New Roman"/>
          <w:vanish/>
          <w:sz w:val="24"/>
          <w:szCs w:val="32"/>
        </w:rPr>
        <w:t xml:space="preserve">, such as </w:t>
      </w:r>
      <w:r w:rsidRPr="00C61B5A">
        <w:rPr>
          <w:rFonts w:ascii="Times New Roman" w:eastAsia="MS Mincho" w:hAnsi="Times New Roman"/>
          <w:vanish/>
          <w:sz w:val="24"/>
          <w:szCs w:val="32"/>
        </w:rPr>
        <w:t>additional permits not already mentioned, safety and health restrictions, tri</w:t>
      </w:r>
      <w:r w:rsidR="009B2B02">
        <w:rPr>
          <w:rFonts w:ascii="Times New Roman" w:eastAsia="MS Mincho" w:hAnsi="Times New Roman"/>
          <w:vanish/>
          <w:sz w:val="24"/>
          <w:szCs w:val="32"/>
        </w:rPr>
        <w:t>b</w:t>
      </w:r>
      <w:r w:rsidRPr="00C61B5A">
        <w:rPr>
          <w:rFonts w:ascii="Times New Roman" w:eastAsia="MS Mincho" w:hAnsi="Times New Roman"/>
          <w:vanish/>
          <w:sz w:val="24"/>
          <w:szCs w:val="32"/>
        </w:rPr>
        <w:t xml:space="preserve">al ordinances, monitors, </w:t>
      </w:r>
      <w:r w:rsidR="001A4850">
        <w:rPr>
          <w:rFonts w:ascii="Times New Roman" w:eastAsia="MS Mincho" w:hAnsi="Times New Roman"/>
          <w:vanish/>
          <w:sz w:val="24"/>
          <w:szCs w:val="32"/>
        </w:rPr>
        <w:t xml:space="preserve">and </w:t>
      </w:r>
      <w:r w:rsidRPr="00C61B5A">
        <w:rPr>
          <w:rFonts w:ascii="Times New Roman" w:eastAsia="MS Mincho" w:hAnsi="Times New Roman"/>
          <w:vanish/>
          <w:sz w:val="24"/>
          <w:szCs w:val="32"/>
        </w:rPr>
        <w:t>animal/bird surveys.</w:t>
      </w:r>
    </w:p>
    <w:p w14:paraId="48EF40FC" w14:textId="60129D28"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32"/>
        </w:rPr>
      </w:pPr>
      <w:r w:rsidRPr="00C61B5A">
        <w:rPr>
          <w:rFonts w:ascii="Times New Roman" w:eastAsia="MS Mincho" w:hAnsi="Times New Roman"/>
          <w:vanish/>
          <w:sz w:val="24"/>
          <w:szCs w:val="32"/>
        </w:rPr>
        <w:t>D</w:t>
      </w:r>
      <w:r w:rsidR="009B2B02">
        <w:rPr>
          <w:rFonts w:ascii="Times New Roman" w:eastAsia="MS Mincho" w:hAnsi="Times New Roman"/>
          <w:vanish/>
          <w:sz w:val="24"/>
          <w:szCs w:val="32"/>
        </w:rPr>
        <w:t>o not</w:t>
      </w:r>
      <w:r w:rsidRPr="00C61B5A">
        <w:rPr>
          <w:rFonts w:ascii="Times New Roman" w:eastAsia="MS Mincho" w:hAnsi="Times New Roman"/>
          <w:vanish/>
          <w:sz w:val="24"/>
          <w:szCs w:val="32"/>
        </w:rPr>
        <w:t xml:space="preserve"> duplicate </w:t>
      </w:r>
      <w:r w:rsidR="009B2B02">
        <w:rPr>
          <w:rFonts w:ascii="Times New Roman" w:eastAsia="MS Mincho" w:hAnsi="Times New Roman"/>
          <w:vanish/>
          <w:sz w:val="24"/>
          <w:szCs w:val="32"/>
        </w:rPr>
        <w:t xml:space="preserve">the same </w:t>
      </w:r>
      <w:r w:rsidRPr="00C61B5A">
        <w:rPr>
          <w:rFonts w:ascii="Times New Roman" w:eastAsia="MS Mincho" w:hAnsi="Times New Roman"/>
          <w:vanish/>
          <w:sz w:val="24"/>
          <w:szCs w:val="32"/>
        </w:rPr>
        <w:t>information in multiple sections.</w:t>
      </w:r>
    </w:p>
    <w:p w14:paraId="02C1B891" w14:textId="4C4216A2"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32"/>
        </w:rPr>
      </w:pPr>
    </w:p>
    <w:p w14:paraId="1D9CDCA4" w14:textId="1122FFD8"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32"/>
        </w:rPr>
      </w:pPr>
      <w:r w:rsidRPr="00C61B5A">
        <w:rPr>
          <w:rFonts w:ascii="Times New Roman" w:eastAsia="MS Mincho" w:hAnsi="Times New Roman"/>
          <w:vanish/>
          <w:sz w:val="24"/>
          <w:szCs w:val="32"/>
        </w:rPr>
        <w:t>Examples for this section:</w:t>
      </w:r>
    </w:p>
    <w:p w14:paraId="25C931EF" w14:textId="0C516FF4" w:rsidR="009F622A" w:rsidRPr="00C61B5A" w:rsidRDefault="004D48D7"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009F622A" w:rsidRPr="00C61B5A">
        <w:rPr>
          <w:rFonts w:ascii="Times New Roman" w:eastAsia="MS Mincho" w:hAnsi="Times New Roman"/>
          <w:vanish/>
          <w:sz w:val="24"/>
          <w:szCs w:val="32"/>
        </w:rPr>
        <w:t>Provide a qualified archeological monitor during excavation activities between Station 787+00 and 810+00. See Subsection 623.0</w:t>
      </w:r>
      <w:r w:rsidR="00014047">
        <w:rPr>
          <w:rFonts w:ascii="Times New Roman" w:eastAsia="MS Mincho" w:hAnsi="Times New Roman"/>
          <w:vanish/>
          <w:sz w:val="24"/>
          <w:szCs w:val="32"/>
        </w:rPr>
        <w:t>3</w:t>
      </w:r>
      <w:r w:rsidR="009F622A" w:rsidRPr="00C61B5A">
        <w:rPr>
          <w:rFonts w:ascii="Times New Roman" w:eastAsia="MS Mincho" w:hAnsi="Times New Roman"/>
          <w:vanish/>
          <w:sz w:val="24"/>
          <w:szCs w:val="32"/>
        </w:rPr>
        <w:t xml:space="preserve"> for qualification requirements.</w:t>
      </w:r>
    </w:p>
    <w:p w14:paraId="328D53B3" w14:textId="60DE4BB9" w:rsidR="009F622A" w:rsidRPr="00C61B5A" w:rsidRDefault="004D48D7"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009F622A" w:rsidRPr="00C61B5A">
        <w:rPr>
          <w:rFonts w:ascii="Times New Roman" w:eastAsia="MS Mincho" w:hAnsi="Times New Roman"/>
          <w:vanish/>
          <w:sz w:val="24"/>
          <w:szCs w:val="32"/>
        </w:rPr>
        <w:t>Do not remove, injure, or destroy trees or other plants until approved.</w:t>
      </w:r>
    </w:p>
    <w:p w14:paraId="72D0C481" w14:textId="240F33C9" w:rsidR="009F622A" w:rsidRPr="00C61B5A" w:rsidRDefault="004D48D7"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009F622A" w:rsidRPr="00C61B5A">
        <w:rPr>
          <w:rFonts w:ascii="Times New Roman" w:eastAsia="MS Mincho" w:hAnsi="Times New Roman"/>
          <w:vanish/>
          <w:sz w:val="24"/>
          <w:szCs w:val="32"/>
        </w:rPr>
        <w:t>Clear all trees from September 15 t</w:t>
      </w:r>
      <w:r w:rsidR="009B2B02">
        <w:rPr>
          <w:rFonts w:ascii="Times New Roman" w:eastAsia="MS Mincho" w:hAnsi="Times New Roman"/>
          <w:vanish/>
          <w:sz w:val="24"/>
          <w:szCs w:val="32"/>
        </w:rPr>
        <w:t>hrough</w:t>
      </w:r>
      <w:r w:rsidR="009F622A" w:rsidRPr="00C61B5A">
        <w:rPr>
          <w:rFonts w:ascii="Times New Roman" w:eastAsia="MS Mincho" w:hAnsi="Times New Roman"/>
          <w:vanish/>
          <w:sz w:val="24"/>
          <w:szCs w:val="32"/>
        </w:rPr>
        <w:t xml:space="preserve"> March 1.</w:t>
      </w:r>
    </w:p>
    <w:p w14:paraId="4E0F77D5" w14:textId="6DD447C0" w:rsidR="009F622A" w:rsidRPr="00C61B5A" w:rsidRDefault="004D48D7"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009F622A" w:rsidRPr="00C61B5A">
        <w:rPr>
          <w:rFonts w:ascii="Times New Roman" w:eastAsia="MS Mincho" w:hAnsi="Times New Roman"/>
          <w:vanish/>
          <w:sz w:val="24"/>
          <w:szCs w:val="32"/>
        </w:rPr>
        <w:t>Construct riprap revetment during low flow periods of 200 cfs as measured at gauge 12345. Current stream gauge data is available at [website link]</w:t>
      </w:r>
    </w:p>
    <w:p w14:paraId="79075E89" w14:textId="074BB754" w:rsidR="009B2B02" w:rsidRDefault="004D48D7" w:rsidP="00BF3024">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Pr>
          <w:rFonts w:ascii="Times New Roman" w:eastAsia="MS Mincho" w:hAnsi="Times New Roman"/>
          <w:vanish/>
          <w:sz w:val="24"/>
          <w:szCs w:val="32"/>
        </w:rPr>
        <w:t>-</w:t>
      </w:r>
      <w:r w:rsidR="009F622A" w:rsidRPr="00C61B5A">
        <w:rPr>
          <w:rFonts w:ascii="Times New Roman" w:eastAsia="MS Mincho" w:hAnsi="Times New Roman"/>
          <w:vanish/>
          <w:sz w:val="24"/>
          <w:szCs w:val="32"/>
        </w:rPr>
        <w:t xml:space="preserve">Notify the CO at least 14 days </w:t>
      </w:r>
      <w:r w:rsidR="009B2B02">
        <w:rPr>
          <w:rFonts w:ascii="Times New Roman" w:eastAsia="MS Mincho" w:hAnsi="Times New Roman"/>
          <w:vanish/>
          <w:sz w:val="24"/>
          <w:szCs w:val="32"/>
        </w:rPr>
        <w:t>before</w:t>
      </w:r>
      <w:r w:rsidR="009F622A" w:rsidRPr="00C61B5A">
        <w:rPr>
          <w:rFonts w:ascii="Times New Roman" w:eastAsia="MS Mincho" w:hAnsi="Times New Roman"/>
          <w:vanish/>
          <w:sz w:val="24"/>
          <w:szCs w:val="32"/>
        </w:rPr>
        <w:t xml:space="preserve"> working in archeological sensitive areas. Do not remove material in these areas until approved.</w:t>
      </w:r>
    </w:p>
    <w:p w14:paraId="338BA957" w14:textId="46E591AB" w:rsidR="00296D06" w:rsidRPr="00671B5A" w:rsidRDefault="00296D06" w:rsidP="009F622A">
      <w:pPr>
        <w:pStyle w:val="BodyText"/>
        <w:rPr>
          <w:b/>
          <w:u w:val="single"/>
        </w:rPr>
      </w:pPr>
      <w:r w:rsidRPr="00671B5A">
        <w:rPr>
          <w:u w:val="single"/>
        </w:rPr>
        <w:t>Add the following:</w:t>
      </w:r>
    </w:p>
    <w:p w14:paraId="0FEC47EC" w14:textId="4E7FD77B" w:rsidR="00296D06" w:rsidRDefault="003F3414" w:rsidP="00C61B5A">
      <w:pPr>
        <w:pStyle w:val="BodyText"/>
        <w:spacing w:line="240" w:lineRule="atLeast"/>
        <w:rPr>
          <w:b/>
        </w:rPr>
      </w:pPr>
      <w:r>
        <w:rPr>
          <w:b/>
        </w:rPr>
        <w:t>107.10</w:t>
      </w:r>
      <w:r w:rsidR="00296D06">
        <w:rPr>
          <w:b/>
        </w:rPr>
        <w:t>(e) Project-specific commitments.</w:t>
      </w:r>
    </w:p>
    <w:p w14:paraId="5DD4224C" w14:textId="77777777" w:rsidR="00635932" w:rsidRDefault="008162A5" w:rsidP="008162A5">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sidRPr="00C61B5A">
        <w:rPr>
          <w:rFonts w:ascii="Times New Roman" w:eastAsia="MS Mincho" w:hAnsi="Times New Roman"/>
          <w:vanish/>
          <w:sz w:val="24"/>
          <w:szCs w:val="32"/>
        </w:rPr>
        <w:t>Coordinate with E</w:t>
      </w:r>
      <w:r>
        <w:rPr>
          <w:rFonts w:ascii="Times New Roman" w:eastAsia="MS Mincho" w:hAnsi="Times New Roman"/>
          <w:vanish/>
          <w:sz w:val="24"/>
          <w:szCs w:val="32"/>
        </w:rPr>
        <w:t xml:space="preserve">nvironment </w:t>
      </w:r>
      <w:r w:rsidRPr="00C61B5A">
        <w:rPr>
          <w:rFonts w:ascii="Times New Roman" w:eastAsia="MS Mincho" w:hAnsi="Times New Roman"/>
          <w:vanish/>
          <w:sz w:val="24"/>
          <w:szCs w:val="32"/>
        </w:rPr>
        <w:t>for project-specific commitments.</w:t>
      </w:r>
    </w:p>
    <w:p w14:paraId="0B0E2EF0" w14:textId="419F595D" w:rsidR="00A14FF8" w:rsidRDefault="008162A5" w:rsidP="008162A5">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Pr>
          <w:rFonts w:ascii="Times New Roman" w:eastAsia="MS Mincho" w:hAnsi="Times New Roman"/>
          <w:vanish/>
          <w:sz w:val="24"/>
          <w:szCs w:val="32"/>
        </w:rPr>
        <w:t xml:space="preserve">The </w:t>
      </w:r>
      <w:r w:rsidR="00A14FF8">
        <w:rPr>
          <w:rFonts w:ascii="Times New Roman" w:eastAsia="MS Mincho" w:hAnsi="Times New Roman"/>
          <w:vanish/>
          <w:sz w:val="24"/>
          <w:szCs w:val="32"/>
        </w:rPr>
        <w:t xml:space="preserve">template </w:t>
      </w:r>
      <w:r>
        <w:rPr>
          <w:rFonts w:ascii="Times New Roman" w:eastAsia="MS Mincho" w:hAnsi="Times New Roman"/>
          <w:vanish/>
          <w:sz w:val="24"/>
          <w:szCs w:val="32"/>
        </w:rPr>
        <w:t>text in (1) below is for migratory bird surveys; revise as needed for project-specific conditions.</w:t>
      </w:r>
    </w:p>
    <w:p w14:paraId="31F6694D" w14:textId="5E4E9911" w:rsidR="00A14FF8" w:rsidRPr="00C61B5A" w:rsidRDefault="00A14FF8" w:rsidP="00A14FF8">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sidRPr="00A14FF8">
        <w:rPr>
          <w:rFonts w:ascii="Times New Roman" w:eastAsia="MS Mincho" w:hAnsi="Times New Roman"/>
          <w:vanish/>
          <w:sz w:val="24"/>
          <w:szCs w:val="32"/>
        </w:rPr>
        <w:lastRenderedPageBreak/>
        <w:t xml:space="preserve">If there is </w:t>
      </w:r>
      <w:r>
        <w:rPr>
          <w:rFonts w:ascii="Times New Roman" w:eastAsia="MS Mincho" w:hAnsi="Times New Roman"/>
          <w:vanish/>
          <w:sz w:val="24"/>
          <w:szCs w:val="32"/>
        </w:rPr>
        <w:t xml:space="preserve">NO </w:t>
      </w:r>
      <w:r w:rsidRPr="00A14FF8">
        <w:rPr>
          <w:rFonts w:ascii="Times New Roman" w:eastAsia="MS Mincho" w:hAnsi="Times New Roman"/>
          <w:vanish/>
          <w:sz w:val="24"/>
          <w:szCs w:val="32"/>
        </w:rPr>
        <w:t xml:space="preserve">pay item for the migratory bird biologist, include the biologist qualifications </w:t>
      </w:r>
      <w:r>
        <w:rPr>
          <w:rFonts w:ascii="Times New Roman" w:eastAsia="MS Mincho" w:hAnsi="Times New Roman"/>
          <w:vanish/>
          <w:sz w:val="24"/>
          <w:szCs w:val="32"/>
        </w:rPr>
        <w:t xml:space="preserve">here in </w:t>
      </w:r>
      <w:r w:rsidRPr="00A14FF8">
        <w:rPr>
          <w:rFonts w:ascii="Times New Roman" w:eastAsia="MS Mincho" w:hAnsi="Times New Roman"/>
          <w:vanish/>
          <w:sz w:val="24"/>
          <w:szCs w:val="32"/>
        </w:rPr>
        <w:t>Section 107:</w:t>
      </w:r>
    </w:p>
    <w:p w14:paraId="74548BA3" w14:textId="11CC5A3E" w:rsidR="00014047" w:rsidRDefault="00296D06" w:rsidP="00014047">
      <w:pPr>
        <w:pStyle w:val="BodyText"/>
        <w:ind w:left="720"/>
        <w:rPr>
          <w:rFonts w:eastAsia="MS Mincho"/>
        </w:rPr>
      </w:pPr>
      <w:r w:rsidRPr="00C401ED">
        <w:rPr>
          <w:b/>
        </w:rPr>
        <w:t>(1)</w:t>
      </w:r>
      <w:r w:rsidR="00014047" w:rsidRPr="00014047">
        <w:rPr>
          <w:rFonts w:eastAsia="MS Mincho"/>
          <w:b/>
        </w:rPr>
        <w:t xml:space="preserve"> </w:t>
      </w:r>
      <w:r w:rsidR="00014047" w:rsidRPr="00E04FDD">
        <w:t>Provide a qualified biologist</w:t>
      </w:r>
      <w:r w:rsidR="00014047">
        <w:t>,</w:t>
      </w:r>
      <w:r w:rsidR="00014047" w:rsidRPr="00E04FDD">
        <w:t xml:space="preserve"> at no additional cost to the Government</w:t>
      </w:r>
      <w:r w:rsidR="00014047">
        <w:t xml:space="preserve">, </w:t>
      </w:r>
      <w:r w:rsidR="00014047" w:rsidRPr="00E04FDD">
        <w:t>to perform</w:t>
      </w:r>
      <w:r w:rsidR="00014047">
        <w:t xml:space="preserve"> the following:</w:t>
      </w:r>
    </w:p>
    <w:p w14:paraId="6A7DDE41" w14:textId="1B0A320B" w:rsidR="00014047" w:rsidRPr="00E04FDD" w:rsidRDefault="00014047" w:rsidP="00626FA4">
      <w:pPr>
        <w:pStyle w:val="BodyText"/>
        <w:ind w:left="1440"/>
      </w:pPr>
      <w:r w:rsidRPr="00620814">
        <w:rPr>
          <w:rFonts w:eastAsia="MS Mincho"/>
          <w:bCs/>
          <w:i/>
          <w:iCs/>
        </w:rPr>
        <w:t>(a)</w:t>
      </w:r>
      <w:r w:rsidRPr="00620814">
        <w:rPr>
          <w:rFonts w:eastAsia="MS Mincho"/>
          <w:bCs/>
        </w:rPr>
        <w:t xml:space="preserve"> </w:t>
      </w:r>
      <w:r w:rsidRPr="00E04FDD">
        <w:t>Conduct pre-construction nest surveys within the clearing limits</w:t>
      </w:r>
      <w:r>
        <w:t xml:space="preserve"> if vegetation clearing or work on suitable nesting structures will occur within the breeding season (from </w:t>
      </w:r>
      <w:r w:rsidR="00626FA4" w:rsidRPr="00626FA4">
        <w:rPr>
          <w:highlight w:val="yellow"/>
        </w:rPr>
        <w:t>&lt;&lt;&lt;</w:t>
      </w:r>
      <w:r w:rsidRPr="00626FA4">
        <w:rPr>
          <w:highlight w:val="yellow"/>
        </w:rPr>
        <w:t>Month Date</w:t>
      </w:r>
      <w:r w:rsidR="00626FA4" w:rsidRPr="00626FA4">
        <w:rPr>
          <w:highlight w:val="yellow"/>
        </w:rPr>
        <w:t>&gt;&gt;&gt;</w:t>
      </w:r>
      <w:r>
        <w:t xml:space="preserve"> to </w:t>
      </w:r>
      <w:r w:rsidR="00626FA4" w:rsidRPr="00626FA4">
        <w:rPr>
          <w:highlight w:val="yellow"/>
        </w:rPr>
        <w:t>&lt;&lt;&lt;</w:t>
      </w:r>
      <w:r w:rsidRPr="00626FA4">
        <w:rPr>
          <w:highlight w:val="yellow"/>
        </w:rPr>
        <w:t>Month Date</w:t>
      </w:r>
      <w:r w:rsidR="00626FA4" w:rsidRPr="00626FA4">
        <w:rPr>
          <w:highlight w:val="yellow"/>
        </w:rPr>
        <w:t>&gt;&gt;&gt;</w:t>
      </w:r>
      <w:r w:rsidRPr="004979DA">
        <w:t>).</w:t>
      </w:r>
      <w:r>
        <w:t xml:space="preserve"> Survey vegetation and suitable nesting structures, including bridges and culverts</w:t>
      </w:r>
      <w:r w:rsidRPr="00E04FDD">
        <w:t>,</w:t>
      </w:r>
      <w:r>
        <w:t xml:space="preserve"> </w:t>
      </w:r>
      <w:r w:rsidRPr="00E04FDD">
        <w:t xml:space="preserve">at least </w:t>
      </w:r>
      <w:r w:rsidR="00626FA4" w:rsidRPr="00626FA4">
        <w:rPr>
          <w:highlight w:val="yellow"/>
        </w:rPr>
        <w:t>&lt;</w:t>
      </w:r>
      <w:r w:rsidR="00626FA4">
        <w:rPr>
          <w:highlight w:val="yellow"/>
        </w:rPr>
        <w:t>&lt;</w:t>
      </w:r>
      <w:r w:rsidR="00626FA4" w:rsidRPr="00626FA4">
        <w:rPr>
          <w:highlight w:val="yellow"/>
        </w:rPr>
        <w:t>&lt;</w:t>
      </w:r>
      <w:r w:rsidRPr="00626FA4">
        <w:rPr>
          <w:highlight w:val="yellow"/>
        </w:rPr>
        <w:t>X</w:t>
      </w:r>
      <w:r w:rsidR="00626FA4">
        <w:rPr>
          <w:highlight w:val="yellow"/>
        </w:rPr>
        <w:t>X</w:t>
      </w:r>
      <w:r w:rsidR="00626FA4" w:rsidRPr="00626FA4">
        <w:rPr>
          <w:highlight w:val="yellow"/>
        </w:rPr>
        <w:t>&gt;</w:t>
      </w:r>
      <w:r w:rsidR="00626FA4">
        <w:rPr>
          <w:highlight w:val="yellow"/>
        </w:rPr>
        <w:t>&gt;</w:t>
      </w:r>
      <w:r w:rsidR="00626FA4" w:rsidRPr="00626FA4">
        <w:rPr>
          <w:highlight w:val="yellow"/>
        </w:rPr>
        <w:t>&gt;</w:t>
      </w:r>
      <w:r w:rsidRPr="00E04FDD">
        <w:t xml:space="preserve"> days before </w:t>
      </w:r>
      <w:r w:rsidRPr="00AC1C3B">
        <w:rPr>
          <w:highlight w:val="yellow"/>
        </w:rPr>
        <w:t>&lt;&lt;&lt;describe work</w:t>
      </w:r>
      <w:r>
        <w:rPr>
          <w:highlight w:val="yellow"/>
        </w:rPr>
        <w:t xml:space="preserve"> that triggers survey</w:t>
      </w:r>
      <w:r w:rsidRPr="00AC1C3B">
        <w:rPr>
          <w:highlight w:val="yellow"/>
        </w:rPr>
        <w:t>&gt;&gt;&gt;</w:t>
      </w:r>
      <w:r>
        <w:t xml:space="preserve"> </w:t>
      </w:r>
      <w:r w:rsidRPr="00E04FDD">
        <w:t>at the site begins</w:t>
      </w:r>
      <w:r>
        <w:t xml:space="preserve">. </w:t>
      </w:r>
      <w:r w:rsidRPr="00212779">
        <w:t>If vegetation clearing or suitable nesting structure work occurs outside of the breeding season, no surveys are required.</w:t>
      </w:r>
    </w:p>
    <w:p w14:paraId="79C44F22" w14:textId="6186C969" w:rsidR="00014047" w:rsidRDefault="00014047" w:rsidP="00626FA4">
      <w:pPr>
        <w:pStyle w:val="BodyText"/>
        <w:ind w:left="1800"/>
      </w:pPr>
      <w:r w:rsidRPr="00620814">
        <w:rPr>
          <w:rFonts w:eastAsia="MS Mincho"/>
          <w:bCs/>
          <w:i/>
          <w:iCs/>
        </w:rPr>
        <w:t>(</w:t>
      </w:r>
      <w:r>
        <w:rPr>
          <w:rFonts w:eastAsia="MS Mincho"/>
          <w:bCs/>
          <w:i/>
          <w:iCs/>
        </w:rPr>
        <w:t>1</w:t>
      </w:r>
      <w:r w:rsidRPr="00620814">
        <w:rPr>
          <w:rFonts w:eastAsia="MS Mincho"/>
          <w:bCs/>
          <w:i/>
          <w:iCs/>
        </w:rPr>
        <w:t>)</w:t>
      </w:r>
      <w:r w:rsidRPr="00620814">
        <w:rPr>
          <w:rFonts w:eastAsia="MS Mincho"/>
          <w:bCs/>
        </w:rPr>
        <w:t xml:space="preserve"> </w:t>
      </w:r>
      <w:r>
        <w:rPr>
          <w:rFonts w:cstheme="minorHAnsi"/>
        </w:rPr>
        <w:t>Conduct nest survey in phases if</w:t>
      </w:r>
      <w:r w:rsidRPr="00E723B1">
        <w:rPr>
          <w:rFonts w:cstheme="minorHAnsi"/>
        </w:rPr>
        <w:t xml:space="preserve"> vegetation removal</w:t>
      </w:r>
      <w:r>
        <w:rPr>
          <w:rFonts w:cstheme="minorHAnsi"/>
        </w:rPr>
        <w:t xml:space="preserve"> or suitable nesting structure construction</w:t>
      </w:r>
      <w:r w:rsidRPr="00E723B1">
        <w:rPr>
          <w:rFonts w:cstheme="minorHAnsi"/>
        </w:rPr>
        <w:t xml:space="preserve"> will occur in phases along the project route, so that no more than </w:t>
      </w:r>
      <w:r w:rsidR="005D2EAC" w:rsidRPr="00626FA4">
        <w:rPr>
          <w:highlight w:val="yellow"/>
        </w:rPr>
        <w:t>&lt;</w:t>
      </w:r>
      <w:r w:rsidR="005D2EAC">
        <w:rPr>
          <w:highlight w:val="yellow"/>
        </w:rPr>
        <w:t>&lt;</w:t>
      </w:r>
      <w:r w:rsidR="005D2EAC" w:rsidRPr="00626FA4">
        <w:rPr>
          <w:highlight w:val="yellow"/>
        </w:rPr>
        <w:t>&lt;X</w:t>
      </w:r>
      <w:r w:rsidR="005D2EAC">
        <w:rPr>
          <w:highlight w:val="yellow"/>
        </w:rPr>
        <w:t>X</w:t>
      </w:r>
      <w:r w:rsidR="005D2EAC" w:rsidRPr="00626FA4">
        <w:rPr>
          <w:highlight w:val="yellow"/>
        </w:rPr>
        <w:t>&gt;</w:t>
      </w:r>
      <w:r w:rsidR="005D2EAC">
        <w:rPr>
          <w:highlight w:val="yellow"/>
        </w:rPr>
        <w:t>&gt;</w:t>
      </w:r>
      <w:r w:rsidR="005D2EAC" w:rsidRPr="00626FA4">
        <w:rPr>
          <w:highlight w:val="yellow"/>
        </w:rPr>
        <w:t>&gt;</w:t>
      </w:r>
      <w:r w:rsidRPr="00CC1D78">
        <w:rPr>
          <w:rFonts w:cstheme="minorHAnsi"/>
        </w:rPr>
        <w:t xml:space="preserve"> days lapses between survey and </w:t>
      </w:r>
      <w:r>
        <w:rPr>
          <w:rFonts w:cstheme="minorHAnsi"/>
        </w:rPr>
        <w:t xml:space="preserve">potential nest disturbance </w:t>
      </w:r>
      <w:r w:rsidRPr="00CC1D78">
        <w:rPr>
          <w:rFonts w:cstheme="minorHAnsi"/>
        </w:rPr>
        <w:t>at any one location.</w:t>
      </w:r>
    </w:p>
    <w:p w14:paraId="7B1CBE4A" w14:textId="58EFB174" w:rsidR="00014047" w:rsidRPr="00FD01B3" w:rsidRDefault="00014047" w:rsidP="00626FA4">
      <w:pPr>
        <w:pStyle w:val="BodyText"/>
        <w:ind w:left="1800"/>
      </w:pPr>
      <w:r w:rsidRPr="00841D10">
        <w:rPr>
          <w:rFonts w:cstheme="minorHAnsi"/>
          <w:i/>
          <w:iCs/>
        </w:rPr>
        <w:t>(</w:t>
      </w:r>
      <w:r>
        <w:rPr>
          <w:rFonts w:cstheme="minorHAnsi"/>
          <w:i/>
          <w:iCs/>
        </w:rPr>
        <w:t>2</w:t>
      </w:r>
      <w:r w:rsidRPr="00841D10">
        <w:rPr>
          <w:rFonts w:cstheme="minorHAnsi"/>
          <w:i/>
          <w:iCs/>
        </w:rPr>
        <w:t>)</w:t>
      </w:r>
      <w:r>
        <w:rPr>
          <w:rFonts w:cstheme="minorHAnsi"/>
        </w:rPr>
        <w:t xml:space="preserve"> </w:t>
      </w:r>
      <w:r w:rsidRPr="00E04FDD">
        <w:t>Notify the CO immediately if an</w:t>
      </w:r>
      <w:r>
        <w:t>y</w:t>
      </w:r>
      <w:r w:rsidRPr="00E04FDD">
        <w:t xml:space="preserve"> active nest</w:t>
      </w:r>
      <w:r>
        <w:t xml:space="preserve"> that may be adversely affected by construction activities</w:t>
      </w:r>
      <w:r w:rsidRPr="00E04FDD">
        <w:t xml:space="preserve"> is discovered</w:t>
      </w:r>
      <w:r>
        <w:t>; include information on nesting species, activities in the vicinity of the nest, topographic and other visual barriers, and recommended protection measures</w:t>
      </w:r>
      <w:r w:rsidRPr="00E04FDD">
        <w:t>.</w:t>
      </w:r>
      <w:r>
        <w:t xml:space="preserve"> Establish a</w:t>
      </w:r>
      <w:r w:rsidRPr="00E04FDD">
        <w:t xml:space="preserve"> no-disturbance buffer</w:t>
      </w:r>
      <w:r>
        <w:t>, in coordination with the CO,</w:t>
      </w:r>
      <w:r w:rsidRPr="00E04FDD">
        <w:t xml:space="preserve"> around the nests</w:t>
      </w:r>
      <w:r>
        <w:t xml:space="preserve"> that is sufficient to ensure that breeding is not likely to be disrupted by construction</w:t>
      </w:r>
      <w:r w:rsidRPr="00E04FDD">
        <w:t>.</w:t>
      </w:r>
      <w:r>
        <w:t xml:space="preserve"> </w:t>
      </w:r>
      <w:r w:rsidR="00E7339A">
        <w:t>M</w:t>
      </w:r>
      <w:r>
        <w:t>aintain buffers until the qualified biologist has determined the young have fledged or nests are no longer active.</w:t>
      </w:r>
    </w:p>
    <w:p w14:paraId="18BD0F4D" w14:textId="77777777" w:rsidR="00014047" w:rsidRDefault="00014047" w:rsidP="00626FA4">
      <w:pPr>
        <w:pStyle w:val="BodyText"/>
        <w:ind w:left="1800"/>
      </w:pPr>
      <w:r w:rsidRPr="00620814">
        <w:rPr>
          <w:rFonts w:eastAsia="MS Mincho"/>
          <w:bCs/>
          <w:i/>
          <w:iCs/>
        </w:rPr>
        <w:t>(</w:t>
      </w:r>
      <w:r>
        <w:rPr>
          <w:rFonts w:eastAsia="MS Mincho"/>
          <w:bCs/>
          <w:i/>
          <w:iCs/>
        </w:rPr>
        <w:t>3</w:t>
      </w:r>
      <w:r w:rsidRPr="00620814">
        <w:rPr>
          <w:rFonts w:eastAsia="MS Mincho"/>
          <w:bCs/>
          <w:i/>
          <w:iCs/>
        </w:rPr>
        <w:t>)</w:t>
      </w:r>
      <w:r w:rsidRPr="00620814">
        <w:rPr>
          <w:rFonts w:eastAsia="MS Mincho"/>
          <w:bCs/>
        </w:rPr>
        <w:t xml:space="preserve"> </w:t>
      </w:r>
      <w:r w:rsidRPr="00E04FDD">
        <w:t>Submit a report documenting the methodology and results of the surveys to the CO within 7 days after completion of surveys.</w:t>
      </w:r>
      <w:r>
        <w:t xml:space="preserve"> Include recommendation for handling of any unoccupied nests observed </w:t>
      </w:r>
      <w:r w:rsidRPr="00666BD3">
        <w:t>and</w:t>
      </w:r>
      <w:r>
        <w:t xml:space="preserve"> nesting prevention recommendations, if appropriate.</w:t>
      </w:r>
    </w:p>
    <w:p w14:paraId="3F9A6523" w14:textId="4BED4F5C" w:rsidR="00014047" w:rsidRDefault="00014047" w:rsidP="00626FA4">
      <w:pPr>
        <w:pStyle w:val="BodyText"/>
        <w:ind w:left="1440"/>
      </w:pPr>
      <w:r w:rsidRPr="00AC1C3B">
        <w:rPr>
          <w:i/>
          <w:iCs/>
        </w:rPr>
        <w:t>(b)</w:t>
      </w:r>
      <w:r>
        <w:t xml:space="preserve"> Conduct a</w:t>
      </w:r>
      <w:r w:rsidRPr="00E51333">
        <w:t xml:space="preserve"> resurvey</w:t>
      </w:r>
      <w:r>
        <w:t xml:space="preserve"> of vegetation and suitable nesting structures, as needed,</w:t>
      </w:r>
      <w:r w:rsidRPr="00E51333">
        <w:t xml:space="preserve"> </w:t>
      </w:r>
      <w:r>
        <w:t>after</w:t>
      </w:r>
      <w:r w:rsidRPr="00E51333">
        <w:t xml:space="preserve"> </w:t>
      </w:r>
      <w:r>
        <w:t xml:space="preserve">any lapse in construction of </w:t>
      </w:r>
      <w:r w:rsidR="00E7339A" w:rsidRPr="00626FA4">
        <w:rPr>
          <w:highlight w:val="yellow"/>
        </w:rPr>
        <w:t>&lt;</w:t>
      </w:r>
      <w:r w:rsidR="00E7339A">
        <w:rPr>
          <w:highlight w:val="yellow"/>
        </w:rPr>
        <w:t>&lt;</w:t>
      </w:r>
      <w:r w:rsidR="00E7339A" w:rsidRPr="00626FA4">
        <w:rPr>
          <w:highlight w:val="yellow"/>
        </w:rPr>
        <w:t>&lt;X</w:t>
      </w:r>
      <w:r w:rsidR="00E7339A">
        <w:rPr>
          <w:highlight w:val="yellow"/>
        </w:rPr>
        <w:t>X</w:t>
      </w:r>
      <w:r w:rsidR="00E7339A" w:rsidRPr="00626FA4">
        <w:rPr>
          <w:highlight w:val="yellow"/>
        </w:rPr>
        <w:t>&gt;</w:t>
      </w:r>
      <w:r w:rsidR="00E7339A">
        <w:rPr>
          <w:highlight w:val="yellow"/>
        </w:rPr>
        <w:t>&gt;</w:t>
      </w:r>
      <w:r w:rsidR="00E7339A" w:rsidRPr="00626FA4">
        <w:rPr>
          <w:highlight w:val="yellow"/>
        </w:rPr>
        <w:t>&gt;</w:t>
      </w:r>
      <w:r>
        <w:t xml:space="preserve"> days or more within the breeding season.</w:t>
      </w:r>
    </w:p>
    <w:p w14:paraId="728B21E4" w14:textId="314DEE2A" w:rsidR="00A14FF8" w:rsidRPr="00C61B5A" w:rsidRDefault="00A14FF8" w:rsidP="00A14FF8">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sidRPr="00A14FF8">
        <w:rPr>
          <w:rFonts w:ascii="Times New Roman" w:eastAsia="MS Mincho" w:hAnsi="Times New Roman"/>
          <w:vanish/>
          <w:sz w:val="24"/>
          <w:szCs w:val="32"/>
        </w:rPr>
        <w:t>If there is a pay item for the migratory bird biologist, include the biologist qualifications in Section 623 and include this sentence in Section 107:</w:t>
      </w:r>
    </w:p>
    <w:p w14:paraId="09542A75" w14:textId="49D06C4C" w:rsidR="00A14FF8" w:rsidRDefault="00A14FF8" w:rsidP="00671B5A">
      <w:pPr>
        <w:pStyle w:val="BodyText"/>
        <w:spacing w:after="160"/>
        <w:ind w:left="720"/>
        <w:rPr>
          <w:b/>
        </w:rPr>
      </w:pPr>
      <w:r>
        <w:rPr>
          <w:b/>
        </w:rPr>
        <w:t xml:space="preserve">(1) </w:t>
      </w:r>
      <w:r w:rsidRPr="00A14FF8">
        <w:rPr>
          <w:bCs/>
        </w:rPr>
        <w:t xml:space="preserve">Provide a qualified biologist according to </w:t>
      </w:r>
      <w:r w:rsidR="00D93F1C">
        <w:rPr>
          <w:bCs/>
        </w:rPr>
        <w:t xml:space="preserve">Subsection </w:t>
      </w:r>
      <w:r w:rsidRPr="00A14FF8">
        <w:rPr>
          <w:bCs/>
        </w:rPr>
        <w:t>623.03(b).</w:t>
      </w:r>
    </w:p>
    <w:p w14:paraId="0AF6B327" w14:textId="57664439" w:rsidR="00296D06" w:rsidRDefault="00296D06" w:rsidP="00671B5A">
      <w:pPr>
        <w:pStyle w:val="BodyText"/>
        <w:spacing w:after="160"/>
        <w:ind w:left="720"/>
        <w:rPr>
          <w:highlight w:val="yellow"/>
        </w:rPr>
      </w:pPr>
      <w:r w:rsidRPr="00C401ED">
        <w:rPr>
          <w:b/>
        </w:rPr>
        <w:t>(2)</w:t>
      </w:r>
      <w:r w:rsidRPr="00C401ED">
        <w:t xml:space="preserve"> </w:t>
      </w:r>
      <w:r w:rsidR="00C401ED" w:rsidRPr="00C401ED">
        <w:rPr>
          <w:highlight w:val="yellow"/>
        </w:rPr>
        <w:t>&lt;&lt;&lt;</w:t>
      </w:r>
      <w:r w:rsidRPr="00C401ED">
        <w:rPr>
          <w:highlight w:val="yellow"/>
        </w:rPr>
        <w:t>de</w:t>
      </w:r>
      <w:r>
        <w:rPr>
          <w:highlight w:val="yellow"/>
        </w:rPr>
        <w:t>scribe commitment</w:t>
      </w:r>
      <w:r w:rsidR="00C401ED">
        <w:rPr>
          <w:highlight w:val="yellow"/>
        </w:rPr>
        <w:t>&gt;&gt;&gt;</w:t>
      </w:r>
    </w:p>
    <w:p w14:paraId="3543848F" w14:textId="5AD77B92" w:rsidR="00296D06" w:rsidRPr="008E074F" w:rsidRDefault="00296D06" w:rsidP="00671B5A">
      <w:pPr>
        <w:pStyle w:val="BodyText"/>
        <w:spacing w:after="160"/>
        <w:ind w:left="720"/>
        <w:rPr>
          <w:highlight w:val="yellow"/>
        </w:rPr>
      </w:pPr>
      <w:r w:rsidRPr="00C401ED">
        <w:rPr>
          <w:b/>
        </w:rPr>
        <w:t>(3)</w:t>
      </w:r>
      <w:r w:rsidRPr="00C401ED">
        <w:t xml:space="preserve"> </w:t>
      </w:r>
      <w:r w:rsidR="00C401ED">
        <w:rPr>
          <w:highlight w:val="yellow"/>
        </w:rPr>
        <w:t>&lt;&lt;&lt;</w:t>
      </w:r>
      <w:r>
        <w:rPr>
          <w:highlight w:val="yellow"/>
        </w:rPr>
        <w:t>describe commitment</w:t>
      </w:r>
      <w:r w:rsidR="00C401ED">
        <w:rPr>
          <w:highlight w:val="yellow"/>
        </w:rPr>
        <w:t>&gt;&gt;&gt;</w:t>
      </w:r>
    </w:p>
    <w:p w14:paraId="6EDA847B" w14:textId="798C4D7B" w:rsidR="009F622A" w:rsidRPr="00C61B5A" w:rsidRDefault="005C214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Pr>
          <w:rFonts w:ascii="Times New Roman" w:eastAsia="MS Mincho" w:hAnsi="Times New Roman"/>
          <w:vanish/>
          <w:sz w:val="24"/>
          <w:szCs w:val="32"/>
        </w:rPr>
        <w:t xml:space="preserve">Include if the partner agency has a fire plan.  </w:t>
      </w:r>
      <w:r w:rsidR="009F622A" w:rsidRPr="00C61B5A">
        <w:rPr>
          <w:rFonts w:ascii="Times New Roman" w:eastAsia="MS Mincho" w:hAnsi="Times New Roman"/>
          <w:vanish/>
          <w:sz w:val="24"/>
          <w:szCs w:val="32"/>
        </w:rPr>
        <w:t xml:space="preserve">Check with the </w:t>
      </w:r>
      <w:r>
        <w:rPr>
          <w:rFonts w:ascii="Times New Roman" w:eastAsia="MS Mincho" w:hAnsi="Times New Roman"/>
          <w:vanish/>
          <w:sz w:val="24"/>
          <w:szCs w:val="32"/>
        </w:rPr>
        <w:t>partner</w:t>
      </w:r>
      <w:r w:rsidR="009F622A" w:rsidRPr="00C61B5A">
        <w:rPr>
          <w:rFonts w:ascii="Times New Roman" w:eastAsia="MS Mincho" w:hAnsi="Times New Roman"/>
          <w:vanish/>
          <w:sz w:val="24"/>
          <w:szCs w:val="32"/>
        </w:rPr>
        <w:t xml:space="preserve"> agency for the requirements of a fire plan and have the agency (Forest Service, Park Service, </w:t>
      </w:r>
      <w:r w:rsidR="001A4850">
        <w:rPr>
          <w:rFonts w:ascii="Times New Roman" w:eastAsia="MS Mincho" w:hAnsi="Times New Roman"/>
          <w:vanish/>
          <w:sz w:val="24"/>
          <w:szCs w:val="32"/>
        </w:rPr>
        <w:t>or similar</w:t>
      </w:r>
      <w:r w:rsidR="009F622A" w:rsidRPr="00C61B5A">
        <w:rPr>
          <w:rFonts w:ascii="Times New Roman" w:eastAsia="MS Mincho" w:hAnsi="Times New Roman"/>
          <w:vanish/>
          <w:sz w:val="24"/>
          <w:szCs w:val="32"/>
        </w:rPr>
        <w:t>) provide the fire pla</w:t>
      </w:r>
      <w:r w:rsidR="00D85328">
        <w:rPr>
          <w:rFonts w:ascii="Times New Roman" w:eastAsia="MS Mincho" w:hAnsi="Times New Roman"/>
          <w:vanish/>
          <w:sz w:val="24"/>
          <w:szCs w:val="32"/>
        </w:rPr>
        <w:t>n</w:t>
      </w:r>
      <w:r w:rsidR="009F622A" w:rsidRPr="00C61B5A">
        <w:rPr>
          <w:rFonts w:ascii="Times New Roman" w:eastAsia="MS Mincho" w:hAnsi="Times New Roman"/>
          <w:vanish/>
          <w:sz w:val="24"/>
          <w:szCs w:val="32"/>
        </w:rPr>
        <w:t>.</w:t>
      </w:r>
    </w:p>
    <w:p w14:paraId="5E150DE0" w14:textId="307966E6" w:rsidR="009F622A" w:rsidRPr="00C61B5A" w:rsidRDefault="009F622A"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lastRenderedPageBreak/>
        <w:t>D</w:t>
      </w:r>
      <w:r w:rsidR="005C2146">
        <w:rPr>
          <w:rFonts w:ascii="Times New Roman" w:eastAsia="MS Mincho" w:hAnsi="Times New Roman"/>
          <w:vanish/>
          <w:sz w:val="24"/>
          <w:szCs w:val="32"/>
        </w:rPr>
        <w:t xml:space="preserve">o not include </w:t>
      </w:r>
      <w:r w:rsidRPr="00C61B5A">
        <w:rPr>
          <w:rFonts w:ascii="Times New Roman" w:eastAsia="MS Mincho" w:hAnsi="Times New Roman"/>
          <w:vanish/>
          <w:sz w:val="24"/>
          <w:szCs w:val="32"/>
        </w:rPr>
        <w:t xml:space="preserve">the following paragraph if a fire plan is not </w:t>
      </w:r>
      <w:r w:rsidR="005C2146">
        <w:rPr>
          <w:rFonts w:ascii="Times New Roman" w:eastAsia="MS Mincho" w:hAnsi="Times New Roman"/>
          <w:vanish/>
          <w:sz w:val="24"/>
          <w:szCs w:val="32"/>
        </w:rPr>
        <w:t>required</w:t>
      </w:r>
      <w:r w:rsidRPr="00C61B5A">
        <w:rPr>
          <w:rFonts w:ascii="Times New Roman" w:eastAsia="MS Mincho" w:hAnsi="Times New Roman"/>
          <w:vanish/>
          <w:sz w:val="24"/>
          <w:szCs w:val="32"/>
        </w:rPr>
        <w:t>.</w:t>
      </w:r>
    </w:p>
    <w:p w14:paraId="20EF2B3E" w14:textId="5DFA156E" w:rsidR="00296D06" w:rsidRPr="00E862BF" w:rsidRDefault="00296D06" w:rsidP="009F622A">
      <w:pPr>
        <w:pStyle w:val="BodyText"/>
        <w:rPr>
          <w:u w:val="single"/>
        </w:rPr>
      </w:pPr>
      <w:r w:rsidRPr="00671B5A">
        <w:rPr>
          <w:b/>
          <w:bCs/>
        </w:rPr>
        <w:t>107.11 Protection of Forests, Parks, and Public Lands.</w:t>
      </w:r>
      <w:r w:rsidRPr="00E862BF">
        <w:t xml:space="preserve"> </w:t>
      </w:r>
      <w:r w:rsidRPr="00E862BF">
        <w:rPr>
          <w:u w:val="single"/>
        </w:rPr>
        <w:t>Add the following:</w:t>
      </w:r>
    </w:p>
    <w:p w14:paraId="39BB4BAD" w14:textId="684FA018" w:rsidR="00296D06" w:rsidRDefault="00930BEB" w:rsidP="00930BEB">
      <w:pPr>
        <w:pStyle w:val="BodyText"/>
      </w:pPr>
      <w:r>
        <w:t xml:space="preserve">Comply with the </w:t>
      </w:r>
      <w:r w:rsidRPr="00F17181">
        <w:t xml:space="preserve">fire prevention plan included in the Appendix. The CO will order the </w:t>
      </w:r>
      <w:r>
        <w:t xml:space="preserve">emergency </w:t>
      </w:r>
      <w:r w:rsidRPr="00F17181">
        <w:t>suspension of operations when conditions are unsafe as determined by the CO and the land management agency.</w:t>
      </w:r>
    </w:p>
    <w:sectPr w:rsidR="00296D06" w:rsidSect="001E2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4264"/>
    <w:multiLevelType w:val="hybridMultilevel"/>
    <w:tmpl w:val="4A784802"/>
    <w:lvl w:ilvl="0" w:tplc="75EE98B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0D2A43"/>
    <w:multiLevelType w:val="hybridMultilevel"/>
    <w:tmpl w:val="994C6754"/>
    <w:lvl w:ilvl="0" w:tplc="AD88E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8BB5464"/>
    <w:multiLevelType w:val="hybridMultilevel"/>
    <w:tmpl w:val="A9001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50914">
    <w:abstractNumId w:val="3"/>
  </w:num>
  <w:num w:numId="2" w16cid:durableId="793793008">
    <w:abstractNumId w:val="2"/>
  </w:num>
  <w:num w:numId="3" w16cid:durableId="242952329">
    <w:abstractNumId w:val="0"/>
  </w:num>
  <w:num w:numId="4" w16cid:durableId="75231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14047"/>
    <w:rsid w:val="00025DAC"/>
    <w:rsid w:val="00063087"/>
    <w:rsid w:val="00094A00"/>
    <w:rsid w:val="000950A6"/>
    <w:rsid w:val="000B7B23"/>
    <w:rsid w:val="000C1976"/>
    <w:rsid w:val="000C33C7"/>
    <w:rsid w:val="000E45B7"/>
    <w:rsid w:val="00107687"/>
    <w:rsid w:val="00142EDB"/>
    <w:rsid w:val="00153267"/>
    <w:rsid w:val="00185870"/>
    <w:rsid w:val="001A4850"/>
    <w:rsid w:val="001C3D67"/>
    <w:rsid w:val="001C56D4"/>
    <w:rsid w:val="001E2BB4"/>
    <w:rsid w:val="001E61FF"/>
    <w:rsid w:val="001E7876"/>
    <w:rsid w:val="00296D06"/>
    <w:rsid w:val="002A6CCF"/>
    <w:rsid w:val="002B01E6"/>
    <w:rsid w:val="002C1BD8"/>
    <w:rsid w:val="002C677B"/>
    <w:rsid w:val="002D34AB"/>
    <w:rsid w:val="002F6A4C"/>
    <w:rsid w:val="003149C1"/>
    <w:rsid w:val="00315FCF"/>
    <w:rsid w:val="00376391"/>
    <w:rsid w:val="00387DE6"/>
    <w:rsid w:val="003913D8"/>
    <w:rsid w:val="003A48D9"/>
    <w:rsid w:val="003A50A3"/>
    <w:rsid w:val="003B2852"/>
    <w:rsid w:val="003F3414"/>
    <w:rsid w:val="00434073"/>
    <w:rsid w:val="00452E28"/>
    <w:rsid w:val="0049264F"/>
    <w:rsid w:val="004979DA"/>
    <w:rsid w:val="004D48D7"/>
    <w:rsid w:val="004D7C33"/>
    <w:rsid w:val="00502644"/>
    <w:rsid w:val="005220A8"/>
    <w:rsid w:val="00540EF9"/>
    <w:rsid w:val="00574D13"/>
    <w:rsid w:val="0057510B"/>
    <w:rsid w:val="005800F9"/>
    <w:rsid w:val="00592676"/>
    <w:rsid w:val="00597EB8"/>
    <w:rsid w:val="005A31D1"/>
    <w:rsid w:val="005A7AA9"/>
    <w:rsid w:val="005B0D6A"/>
    <w:rsid w:val="005C2146"/>
    <w:rsid w:val="005C3C05"/>
    <w:rsid w:val="005D2EAC"/>
    <w:rsid w:val="0060365A"/>
    <w:rsid w:val="00611C2D"/>
    <w:rsid w:val="00626FA4"/>
    <w:rsid w:val="00627DAF"/>
    <w:rsid w:val="00635932"/>
    <w:rsid w:val="00671B5A"/>
    <w:rsid w:val="006B0A43"/>
    <w:rsid w:val="006C57E1"/>
    <w:rsid w:val="006F522F"/>
    <w:rsid w:val="00713012"/>
    <w:rsid w:val="00723757"/>
    <w:rsid w:val="00741630"/>
    <w:rsid w:val="00776B17"/>
    <w:rsid w:val="00792DBD"/>
    <w:rsid w:val="007943E2"/>
    <w:rsid w:val="007A5BBD"/>
    <w:rsid w:val="007D757C"/>
    <w:rsid w:val="008162A5"/>
    <w:rsid w:val="00817A0B"/>
    <w:rsid w:val="0082550B"/>
    <w:rsid w:val="00841E8E"/>
    <w:rsid w:val="00846E46"/>
    <w:rsid w:val="008833DE"/>
    <w:rsid w:val="008B70D7"/>
    <w:rsid w:val="008F5CF9"/>
    <w:rsid w:val="00916691"/>
    <w:rsid w:val="00930BEB"/>
    <w:rsid w:val="00932E36"/>
    <w:rsid w:val="00947B29"/>
    <w:rsid w:val="009559D8"/>
    <w:rsid w:val="009628FF"/>
    <w:rsid w:val="00980AE8"/>
    <w:rsid w:val="00997C28"/>
    <w:rsid w:val="009A1E32"/>
    <w:rsid w:val="009A32AE"/>
    <w:rsid w:val="009B2B02"/>
    <w:rsid w:val="009B52BA"/>
    <w:rsid w:val="009C3219"/>
    <w:rsid w:val="009C6C17"/>
    <w:rsid w:val="009E48A8"/>
    <w:rsid w:val="009F622A"/>
    <w:rsid w:val="00A058D5"/>
    <w:rsid w:val="00A14FF8"/>
    <w:rsid w:val="00A515F2"/>
    <w:rsid w:val="00A57E72"/>
    <w:rsid w:val="00AA417B"/>
    <w:rsid w:val="00B46AD5"/>
    <w:rsid w:val="00B87C0C"/>
    <w:rsid w:val="00BB5190"/>
    <w:rsid w:val="00BB7187"/>
    <w:rsid w:val="00BF3024"/>
    <w:rsid w:val="00C01211"/>
    <w:rsid w:val="00C401ED"/>
    <w:rsid w:val="00C61B5A"/>
    <w:rsid w:val="00C61DD1"/>
    <w:rsid w:val="00CA0B10"/>
    <w:rsid w:val="00CA5660"/>
    <w:rsid w:val="00CB3F49"/>
    <w:rsid w:val="00CB4DE9"/>
    <w:rsid w:val="00CC36A9"/>
    <w:rsid w:val="00CD47AB"/>
    <w:rsid w:val="00D1581B"/>
    <w:rsid w:val="00D24238"/>
    <w:rsid w:val="00D4380C"/>
    <w:rsid w:val="00D50D05"/>
    <w:rsid w:val="00D85328"/>
    <w:rsid w:val="00D87FA4"/>
    <w:rsid w:val="00D93F1C"/>
    <w:rsid w:val="00DA4203"/>
    <w:rsid w:val="00DA6A8C"/>
    <w:rsid w:val="00DC20D7"/>
    <w:rsid w:val="00DD6BBE"/>
    <w:rsid w:val="00E014D5"/>
    <w:rsid w:val="00E03A74"/>
    <w:rsid w:val="00E333BA"/>
    <w:rsid w:val="00E7339A"/>
    <w:rsid w:val="00E90715"/>
    <w:rsid w:val="00ED3E84"/>
    <w:rsid w:val="00ED6F3F"/>
    <w:rsid w:val="00EE1DDA"/>
    <w:rsid w:val="00EE43CD"/>
    <w:rsid w:val="00F22014"/>
    <w:rsid w:val="00F22062"/>
    <w:rsid w:val="00F630F9"/>
    <w:rsid w:val="00F861F7"/>
    <w:rsid w:val="00F955FE"/>
    <w:rsid w:val="00FB32A3"/>
    <w:rsid w:val="00FC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5C3C0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C3C05"/>
    <w:rPr>
      <w:rFonts w:ascii="Courier New" w:eastAsia="Times New Roman" w:hAnsi="Courier New" w:cs="Times New Roman"/>
      <w:sz w:val="20"/>
      <w:szCs w:val="20"/>
    </w:rPr>
  </w:style>
  <w:style w:type="character" w:styleId="Hyperlink">
    <w:name w:val="Hyperlink"/>
    <w:rsid w:val="005C3C05"/>
    <w:rPr>
      <w:color w:val="0000FF"/>
      <w:u w:val="single"/>
    </w:rPr>
  </w:style>
  <w:style w:type="paragraph" w:customStyle="1" w:styleId="NormalSCRtext">
    <w:name w:val="NormalSCRtext"/>
    <w:basedOn w:val="Normal"/>
    <w:rsid w:val="005C3C05"/>
    <w:pPr>
      <w:spacing w:after="240" w:line="240" w:lineRule="atLeast"/>
    </w:pPr>
    <w:rPr>
      <w:rFonts w:ascii="Times New Roman" w:eastAsia="Times New Roman" w:hAnsi="Times New Roman" w:cs="Times New Roman"/>
      <w:sz w:val="24"/>
      <w:szCs w:val="24"/>
    </w:rPr>
  </w:style>
  <w:style w:type="paragraph" w:styleId="NormalWeb">
    <w:name w:val="Normal (Web)"/>
    <w:basedOn w:val="Normal"/>
    <w:uiPriority w:val="99"/>
    <w:unhideWhenUsed/>
    <w:rsid w:val="005C3C0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3C0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96D06"/>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6D06"/>
    <w:rPr>
      <w:rFonts w:ascii="Times New Roman" w:eastAsia="Times New Roman" w:hAnsi="Times New Roman" w:cs="Times New Roman"/>
      <w:b/>
      <w:bCs/>
      <w:sz w:val="20"/>
      <w:szCs w:val="20"/>
    </w:rPr>
  </w:style>
  <w:style w:type="paragraph" w:styleId="Revision">
    <w:name w:val="Revision"/>
    <w:hidden/>
    <w:uiPriority w:val="99"/>
    <w:semiHidden/>
    <w:rsid w:val="00ED3E84"/>
    <w:pPr>
      <w:spacing w:after="0" w:line="240" w:lineRule="auto"/>
    </w:pPr>
  </w:style>
  <w:style w:type="character" w:styleId="UnresolvedMention">
    <w:name w:val="Unresolved Mention"/>
    <w:basedOn w:val="DefaultParagraphFont"/>
    <w:uiPriority w:val="99"/>
    <w:semiHidden/>
    <w:unhideWhenUsed/>
    <w:rsid w:val="00D87FA4"/>
    <w:rPr>
      <w:color w:val="605E5C"/>
      <w:shd w:val="clear" w:color="auto" w:fill="E1DFDD"/>
    </w:rPr>
  </w:style>
  <w:style w:type="character" w:customStyle="1" w:styleId="ui-provider">
    <w:name w:val="ui-provider"/>
    <w:basedOn w:val="DefaultParagraphFont"/>
    <w:rsid w:val="001E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board_decisions/adopted_orders/water_quality/2022/wqo_2022-0057-dwq.pdf" TargetMode="External"/><Relationship Id="rId13" Type="http://schemas.openxmlformats.org/officeDocument/2006/relationships/hyperlink" Target="http://www.deq.state.ne.us/Publica.nsf/pages/WAT012" TargetMode="External"/><Relationship Id="rId18" Type="http://schemas.openxmlformats.org/officeDocument/2006/relationships/hyperlink" Target="https://www.deq.ok.gov/wp-content/uploads/water-division/OKR10-2022-Final-permit-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ceq.texas.gov/downloads/permitting/stormwater/general/construction/2023-cgp-txr150000.pdf" TargetMode="External"/><Relationship Id="rId7" Type="http://schemas.openxmlformats.org/officeDocument/2006/relationships/hyperlink" Target="https://static.azdeq.gov/permits/azpdes/cgp_permit.pdf" TargetMode="External"/><Relationship Id="rId12" Type="http://schemas.openxmlformats.org/officeDocument/2006/relationships/hyperlink" Target="https://www.epa.gov/npdes/2022-construction-general-permit-cgp" TargetMode="External"/><Relationship Id="rId17" Type="http://schemas.openxmlformats.org/officeDocument/2006/relationships/hyperlink" Target="https://deq.nd.gov/publications/wq/2_NDPDES/Stormwater/Construction/NDR11per20200401F.pdf" TargetMode="External"/><Relationship Id="rId25" Type="http://schemas.openxmlformats.org/officeDocument/2006/relationships/hyperlink" Target="https://highways.dot.gov/federal-lands/rw-util/cfl" TargetMode="External"/><Relationship Id="rId2" Type="http://schemas.openxmlformats.org/officeDocument/2006/relationships/numbering" Target="numbering.xml"/><Relationship Id="rId16" Type="http://schemas.openxmlformats.org/officeDocument/2006/relationships/hyperlink" Target="https://www.epa.gov/system/files/documents/2022-01/2022-cgp-final-permit.pdf" TargetMode="External"/><Relationship Id="rId20" Type="http://schemas.openxmlformats.org/officeDocument/2006/relationships/hyperlink" Target="https://www.tceq.texas.gov/downloads/permitting/stormwater/general/construction/2023-cgp-txr150000.pdf" TargetMode="External"/><Relationship Id="rId1" Type="http://schemas.openxmlformats.org/officeDocument/2006/relationships/customXml" Target="../customXml/item1.xml"/><Relationship Id="rId6" Type="http://schemas.openxmlformats.org/officeDocument/2006/relationships/hyperlink" Target="https://www.epa.gov/system/files/documents/2022-01/2022-cgp-final-appendix-b-areas-of-permit-cover.pdf" TargetMode="External"/><Relationship Id="rId11" Type="http://schemas.openxmlformats.org/officeDocument/2006/relationships/hyperlink" Target="https://health.hawaii.gov/cwb/files/2024/01/January-29-2024-11-55-Appendices-C-A.pdf" TargetMode="External"/><Relationship Id="rId24" Type="http://schemas.openxmlformats.org/officeDocument/2006/relationships/hyperlink" Target="https://drive.google.com/file/d/1FwVC3LegHgCtbZpeRFX2F5UBy_x1rTm4/view" TargetMode="External"/><Relationship Id="rId5" Type="http://schemas.openxmlformats.org/officeDocument/2006/relationships/webSettings" Target="webSettings.xml"/><Relationship Id="rId15" Type="http://schemas.openxmlformats.org/officeDocument/2006/relationships/hyperlink" Target="https://ndep.nv.gov/uploads/documents/Construction_SW_GPermit_2015_.pdf" TargetMode="External"/><Relationship Id="rId23" Type="http://schemas.openxmlformats.org/officeDocument/2006/relationships/hyperlink" Target="https://drive.google.com/file/d/1GMfaOewy9KN3CbobjDrwFJvM8fLu--nA/view" TargetMode="External"/><Relationship Id="rId10" Type="http://schemas.openxmlformats.org/officeDocument/2006/relationships/hyperlink" Target="https://oitco.hylandcloud.com/CDPHERMPublicAccess/api/Document/AQfwokluDriUFw9rLI8HeKnA3FOQD9oxLj2WtUV%C3%896urJ3JjLHBBWZPGaal9FHPt1L9vF9iX3AMKBHphEdDOVvyQ%3D/" TargetMode="External"/><Relationship Id="rId19" Type="http://schemas.openxmlformats.org/officeDocument/2006/relationships/hyperlink" Target="https://danr.sd.gov/OfficeOfWater/SurfaceWaterQuality/docs/DANR_ConstructionGeneralPermit2023.pdf" TargetMode="External"/><Relationship Id="rId4" Type="http://schemas.openxmlformats.org/officeDocument/2006/relationships/settings" Target="settings.xml"/><Relationship Id="rId9" Type="http://schemas.openxmlformats.org/officeDocument/2006/relationships/hyperlink" Target="https://www.epa.gov/system/files/documents/2022-01/2022-cgp-final-permit.pdf" TargetMode="External"/><Relationship Id="rId14" Type="http://schemas.openxmlformats.org/officeDocument/2006/relationships/hyperlink" Target="http://www.deq.state.ne.us/Publica.nsf/pages/WAT012" TargetMode="External"/><Relationship Id="rId22" Type="http://schemas.openxmlformats.org/officeDocument/2006/relationships/hyperlink" Target="https://documents.deq.utah.gov/water-quality/stormwater/construction/DWQ-2020-01389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B1BF0-A8A9-4BEC-AC02-B6BD078B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107: Legal Relations and Responsibility to the Public</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Legal Relations and Responsibility to the Public</dc:title>
  <dc:subject/>
  <dc:creator>FHWA</dc:creator>
  <cp:keywords/>
  <dc:description/>
  <cp:lastModifiedBy>Black, Christine (FHWA)</cp:lastModifiedBy>
  <cp:revision>38</cp:revision>
  <dcterms:created xsi:type="dcterms:W3CDTF">2024-02-08T23:13:00Z</dcterms:created>
  <dcterms:modified xsi:type="dcterms:W3CDTF">2025-02-25T15:00:00Z</dcterms:modified>
</cp:coreProperties>
</file>