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79D8" w14:textId="6AC81434" w:rsidR="00957143" w:rsidRPr="002C32A4" w:rsidRDefault="009E7B7A" w:rsidP="00957143">
      <w:pPr>
        <w:pStyle w:val="Title"/>
        <w:jc w:val="center"/>
        <w:rPr>
          <w:sz w:val="48"/>
          <w:szCs w:val="48"/>
        </w:rPr>
      </w:pPr>
      <w:bookmarkStart w:id="0" w:name="Implementation_Guidance_for_the"/>
      <w:bookmarkEnd w:id="0"/>
      <w:r w:rsidRPr="002C32A4">
        <w:rPr>
          <w:sz w:val="48"/>
          <w:szCs w:val="48"/>
        </w:rPr>
        <w:t>Implementation Guidance</w:t>
      </w:r>
    </w:p>
    <w:p w14:paraId="1CB350FC" w14:textId="57236028" w:rsidR="003927CE" w:rsidRPr="002C32A4" w:rsidRDefault="003927CE" w:rsidP="00957143">
      <w:pPr>
        <w:pStyle w:val="Title"/>
        <w:jc w:val="center"/>
        <w:rPr>
          <w:sz w:val="48"/>
          <w:szCs w:val="48"/>
        </w:rPr>
      </w:pPr>
      <w:r w:rsidRPr="002C32A4">
        <w:rPr>
          <w:sz w:val="48"/>
          <w:szCs w:val="48"/>
        </w:rPr>
        <w:t>Transportation Planning</w:t>
      </w:r>
      <w:r w:rsidR="003E03A2" w:rsidRPr="002C32A4">
        <w:rPr>
          <w:sz w:val="48"/>
          <w:szCs w:val="48"/>
        </w:rPr>
        <w:t xml:space="preserve"> and Transfers</w:t>
      </w:r>
    </w:p>
    <w:p w14:paraId="032CD093" w14:textId="532ABEBC" w:rsidR="00B03483" w:rsidRPr="00B03483" w:rsidRDefault="001F151D" w:rsidP="00957143">
      <w:pPr>
        <w:pStyle w:val="Title"/>
        <w:jc w:val="center"/>
        <w:rPr>
          <w:sz w:val="22"/>
          <w:szCs w:val="22"/>
        </w:rPr>
      </w:pPr>
      <w:r>
        <w:rPr>
          <w:sz w:val="22"/>
          <w:szCs w:val="22"/>
        </w:rPr>
        <w:t>(Updated – BIL Enactment)</w:t>
      </w:r>
    </w:p>
    <w:p w14:paraId="36B9A5F4" w14:textId="0D771978" w:rsidR="005D6BFC" w:rsidRPr="00957143" w:rsidRDefault="005D6BFC" w:rsidP="00957143">
      <w:pPr>
        <w:pStyle w:val="Title"/>
        <w:jc w:val="center"/>
        <w:rPr>
          <w:sz w:val="28"/>
          <w:szCs w:val="28"/>
        </w:rPr>
      </w:pPr>
      <w:bookmarkStart w:id="1" w:name="Federal_Lands_Planning_Program"/>
      <w:bookmarkEnd w:id="1"/>
    </w:p>
    <w:p w14:paraId="0B204C0C" w14:textId="77777777" w:rsidR="005D6BFC" w:rsidRPr="002C32A4" w:rsidRDefault="009E7B7A" w:rsidP="008E1D03">
      <w:pPr>
        <w:pStyle w:val="Heading1"/>
        <w:spacing w:before="277"/>
        <w:ind w:left="0"/>
      </w:pPr>
      <w:bookmarkStart w:id="2" w:name="Purpose"/>
      <w:bookmarkEnd w:id="2"/>
      <w:r w:rsidRPr="002C32A4">
        <w:t>Purpose</w:t>
      </w:r>
    </w:p>
    <w:p w14:paraId="711229FE" w14:textId="77777777" w:rsidR="005D6BFC" w:rsidRDefault="005D6BFC">
      <w:pPr>
        <w:pStyle w:val="BodyText"/>
        <w:spacing w:before="2"/>
        <w:rPr>
          <w:b/>
          <w:sz w:val="16"/>
        </w:rPr>
      </w:pPr>
    </w:p>
    <w:p w14:paraId="1E866CE5" w14:textId="336F4BEC" w:rsidR="003E03A2" w:rsidRDefault="009E7B7A" w:rsidP="008E1D03">
      <w:pPr>
        <w:pStyle w:val="BodyText"/>
        <w:spacing w:before="90"/>
        <w:ind w:right="298"/>
        <w:jc w:val="both"/>
      </w:pPr>
      <w:bookmarkStart w:id="3" w:name="The_purpose_of_this_document_is_to_provi"/>
      <w:bookmarkEnd w:id="3"/>
      <w:r>
        <w:t>The</w:t>
      </w:r>
      <w:r>
        <w:rPr>
          <w:spacing w:val="-2"/>
        </w:rPr>
        <w:t xml:space="preserve"> </w:t>
      </w:r>
      <w:r>
        <w:t>purpose</w:t>
      </w:r>
      <w:r>
        <w:rPr>
          <w:spacing w:val="-2"/>
        </w:rPr>
        <w:t xml:space="preserve"> </w:t>
      </w:r>
      <w:r>
        <w:t>of</w:t>
      </w:r>
      <w:r>
        <w:rPr>
          <w:spacing w:val="-2"/>
        </w:rPr>
        <w:t xml:space="preserve"> </w:t>
      </w:r>
      <w:r>
        <w:t>this</w:t>
      </w:r>
      <w:r>
        <w:rPr>
          <w:spacing w:val="-1"/>
        </w:rPr>
        <w:t xml:space="preserve"> </w:t>
      </w:r>
      <w:r>
        <w:t>document</w:t>
      </w:r>
      <w:r>
        <w:rPr>
          <w:spacing w:val="-1"/>
        </w:rPr>
        <w:t xml:space="preserve"> </w:t>
      </w:r>
      <w:r>
        <w:t>is</w:t>
      </w:r>
      <w:r>
        <w:rPr>
          <w:spacing w:val="-1"/>
        </w:rPr>
        <w:t xml:space="preserve"> </w:t>
      </w:r>
      <w:r>
        <w:t>to</w:t>
      </w:r>
      <w:r>
        <w:rPr>
          <w:spacing w:val="-1"/>
        </w:rPr>
        <w:t xml:space="preserve"> </w:t>
      </w:r>
      <w:r>
        <w:t>provide</w:t>
      </w:r>
      <w:r>
        <w:rPr>
          <w:spacing w:val="-2"/>
        </w:rPr>
        <w:t xml:space="preserve"> </w:t>
      </w:r>
      <w:r>
        <w:t>guidance</w:t>
      </w:r>
      <w:r>
        <w:rPr>
          <w:spacing w:val="-2"/>
        </w:rPr>
        <w:t xml:space="preserve"> </w:t>
      </w:r>
      <w:r>
        <w:t>for</w:t>
      </w:r>
      <w:r>
        <w:rPr>
          <w:spacing w:val="-2"/>
        </w:rPr>
        <w:t xml:space="preserve"> </w:t>
      </w:r>
      <w:r>
        <w:t>implementing</w:t>
      </w:r>
      <w:r>
        <w:rPr>
          <w:spacing w:val="-4"/>
        </w:rPr>
        <w:t xml:space="preserve"> </w:t>
      </w:r>
      <w:r>
        <w:t>and</w:t>
      </w:r>
      <w:r>
        <w:rPr>
          <w:spacing w:val="2"/>
        </w:rPr>
        <w:t xml:space="preserve"> </w:t>
      </w:r>
      <w:r>
        <w:t>administering</w:t>
      </w:r>
      <w:r>
        <w:rPr>
          <w:spacing w:val="-4"/>
        </w:rPr>
        <w:t xml:space="preserve"> </w:t>
      </w:r>
      <w:r>
        <w:t>funds</w:t>
      </w:r>
      <w:r>
        <w:rPr>
          <w:spacing w:val="-58"/>
        </w:rPr>
        <w:t xml:space="preserve"> </w:t>
      </w:r>
      <w:r>
        <w:t xml:space="preserve">provided for </w:t>
      </w:r>
      <w:r w:rsidR="003502CC">
        <w:t xml:space="preserve">eligible activities cited in </w:t>
      </w:r>
      <w:r w:rsidR="003E03A2">
        <w:t xml:space="preserve">title 23 United States Code </w:t>
      </w:r>
      <w:r w:rsidR="003502CC">
        <w:t>section</w:t>
      </w:r>
      <w:r w:rsidR="003E03A2">
        <w:t>s</w:t>
      </w:r>
      <w:r w:rsidR="003502CC">
        <w:t xml:space="preserve"> 201</w:t>
      </w:r>
      <w:r w:rsidR="00FE1D95">
        <w:t xml:space="preserve"> (c)</w:t>
      </w:r>
      <w:r w:rsidR="003E03A2">
        <w:t xml:space="preserve"> and (e)</w:t>
      </w:r>
      <w:r w:rsidR="003502CC">
        <w:t xml:space="preserve">, </w:t>
      </w:r>
      <w:r w:rsidR="00FE1D95">
        <w:t>T</w:t>
      </w:r>
      <w:r>
        <w:t xml:space="preserve">ransportation </w:t>
      </w:r>
      <w:r w:rsidR="00FE1D95">
        <w:t>P</w:t>
      </w:r>
      <w:r>
        <w:t>lanning</w:t>
      </w:r>
      <w:r w:rsidR="003E03A2">
        <w:t xml:space="preserve"> and Transfers, respectively. </w:t>
      </w:r>
    </w:p>
    <w:p w14:paraId="583F934E" w14:textId="40AEE80B" w:rsidR="005D6BFC" w:rsidRPr="003E03A2" w:rsidRDefault="00F376D9" w:rsidP="008E1D03">
      <w:pPr>
        <w:pStyle w:val="BodyText"/>
        <w:spacing w:before="90"/>
        <w:ind w:right="298"/>
        <w:jc w:val="both"/>
        <w:rPr>
          <w:sz w:val="20"/>
          <w:szCs w:val="20"/>
        </w:rPr>
      </w:pPr>
      <w:r w:rsidRPr="003E03A2">
        <w:rPr>
          <w:sz w:val="20"/>
          <w:szCs w:val="20"/>
        </w:rPr>
        <w:t xml:space="preserve">(Note:  </w:t>
      </w:r>
      <w:r w:rsidR="003927CE" w:rsidRPr="003E03A2">
        <w:rPr>
          <w:sz w:val="20"/>
          <w:szCs w:val="20"/>
        </w:rPr>
        <w:t>Section 201 addresses a range of partners, programs, and legislative provisions.  Separate guidance is provided on</w:t>
      </w:r>
      <w:r w:rsidR="008E1D03">
        <w:rPr>
          <w:sz w:val="20"/>
          <w:szCs w:val="20"/>
        </w:rPr>
        <w:t xml:space="preserve"> </w:t>
      </w:r>
      <w:r w:rsidR="004D7EBF">
        <w:rPr>
          <w:sz w:val="20"/>
          <w:szCs w:val="20"/>
        </w:rPr>
        <w:t>Federal Lands Access Program (</w:t>
      </w:r>
      <w:r w:rsidR="003927CE" w:rsidRPr="003E03A2">
        <w:rPr>
          <w:sz w:val="20"/>
          <w:szCs w:val="20"/>
        </w:rPr>
        <w:t>FLAP</w:t>
      </w:r>
      <w:r w:rsidR="004D7EBF">
        <w:rPr>
          <w:sz w:val="20"/>
          <w:szCs w:val="20"/>
        </w:rPr>
        <w:t>)</w:t>
      </w:r>
      <w:r w:rsidR="003927CE" w:rsidRPr="003E03A2">
        <w:rPr>
          <w:sz w:val="20"/>
          <w:szCs w:val="20"/>
        </w:rPr>
        <w:t xml:space="preserve"> </w:t>
      </w:r>
      <w:r w:rsidR="008E1D03">
        <w:rPr>
          <w:sz w:val="20"/>
          <w:szCs w:val="20"/>
        </w:rPr>
        <w:t xml:space="preserve">provision that increases </w:t>
      </w:r>
      <w:r w:rsidR="004D7EBF">
        <w:rPr>
          <w:sz w:val="20"/>
          <w:szCs w:val="20"/>
        </w:rPr>
        <w:t>Federal share</w:t>
      </w:r>
      <w:r w:rsidR="003927CE" w:rsidRPr="003E03A2">
        <w:rPr>
          <w:sz w:val="20"/>
          <w:szCs w:val="20"/>
        </w:rPr>
        <w:t xml:space="preserve"> up to 100%</w:t>
      </w:r>
      <w:r w:rsidR="008E1D03">
        <w:rPr>
          <w:sz w:val="20"/>
          <w:szCs w:val="20"/>
        </w:rPr>
        <w:t xml:space="preserve"> and </w:t>
      </w:r>
      <w:r w:rsidR="003927CE" w:rsidRPr="003E03A2">
        <w:rPr>
          <w:sz w:val="20"/>
          <w:szCs w:val="20"/>
        </w:rPr>
        <w:t xml:space="preserve">tribal transportation facility provisions.) </w:t>
      </w:r>
    </w:p>
    <w:p w14:paraId="1E07A863" w14:textId="77777777" w:rsidR="00D14A2C" w:rsidRDefault="00D14A2C" w:rsidP="003927CE">
      <w:pPr>
        <w:pStyle w:val="BodyText"/>
        <w:spacing w:before="90"/>
        <w:ind w:left="120" w:right="298"/>
        <w:jc w:val="both"/>
      </w:pPr>
    </w:p>
    <w:p w14:paraId="1A030CFA" w14:textId="77777777" w:rsidR="005D6BFC" w:rsidRPr="002C32A4" w:rsidRDefault="009E7B7A" w:rsidP="008E1D03">
      <w:pPr>
        <w:pStyle w:val="Heading1"/>
        <w:ind w:left="0"/>
      </w:pPr>
      <w:bookmarkStart w:id="4" w:name="Framework"/>
      <w:bookmarkEnd w:id="4"/>
      <w:r w:rsidRPr="002C32A4">
        <w:t>Framework</w:t>
      </w:r>
    </w:p>
    <w:p w14:paraId="0FD097A5" w14:textId="394B348D" w:rsidR="005D6BFC" w:rsidRDefault="009E7B7A" w:rsidP="008E1D03">
      <w:pPr>
        <w:pStyle w:val="BodyText"/>
        <w:spacing w:before="274"/>
        <w:ind w:right="193"/>
      </w:pPr>
      <w:r>
        <w:t>Recognizing</w:t>
      </w:r>
      <w:r>
        <w:rPr>
          <w:spacing w:val="-5"/>
        </w:rPr>
        <w:t xml:space="preserve"> </w:t>
      </w:r>
      <w:r>
        <w:t>the</w:t>
      </w:r>
      <w:r>
        <w:rPr>
          <w:spacing w:val="-2"/>
        </w:rPr>
        <w:t xml:space="preserve"> </w:t>
      </w:r>
      <w:r>
        <w:t>need for all</w:t>
      </w:r>
      <w:r>
        <w:rPr>
          <w:spacing w:val="-2"/>
        </w:rPr>
        <w:t xml:space="preserve"> </w:t>
      </w:r>
      <w:r>
        <w:t>public</w:t>
      </w:r>
      <w:r>
        <w:rPr>
          <w:spacing w:val="-2"/>
        </w:rPr>
        <w:t xml:space="preserve"> </w:t>
      </w:r>
      <w:r>
        <w:t>Federal</w:t>
      </w:r>
      <w:r>
        <w:rPr>
          <w:spacing w:val="-2"/>
        </w:rPr>
        <w:t xml:space="preserve"> </w:t>
      </w:r>
      <w:r>
        <w:t>transportation</w:t>
      </w:r>
      <w:r>
        <w:rPr>
          <w:spacing w:val="-1"/>
        </w:rPr>
        <w:t xml:space="preserve"> </w:t>
      </w:r>
      <w:r>
        <w:t>facilities</w:t>
      </w:r>
      <w:r>
        <w:rPr>
          <w:spacing w:val="-2"/>
        </w:rPr>
        <w:t xml:space="preserve"> </w:t>
      </w:r>
      <w:r>
        <w:t>to</w:t>
      </w:r>
      <w:r>
        <w:rPr>
          <w:spacing w:val="-1"/>
        </w:rPr>
        <w:t xml:space="preserve"> </w:t>
      </w:r>
      <w:r>
        <w:t>be</w:t>
      </w:r>
      <w:r>
        <w:rPr>
          <w:spacing w:val="-3"/>
        </w:rPr>
        <w:t xml:space="preserve"> </w:t>
      </w:r>
      <w:r>
        <w:t>treated</w:t>
      </w:r>
      <w:r>
        <w:rPr>
          <w:spacing w:val="-1"/>
        </w:rPr>
        <w:t xml:space="preserve"> </w:t>
      </w:r>
      <w:r>
        <w:t>under</w:t>
      </w:r>
      <w:r w:rsidR="003E03A2">
        <w:t xml:space="preserve"> </w:t>
      </w:r>
      <w:r>
        <w:rPr>
          <w:spacing w:val="-57"/>
        </w:rPr>
        <w:t xml:space="preserve"> </w:t>
      </w:r>
      <w:r>
        <w:t>uniform policies, 23 U.S.C. 201(c) requires that the Secretary of Transportation, in consultation</w:t>
      </w:r>
      <w:r>
        <w:rPr>
          <w:spacing w:val="1"/>
        </w:rPr>
        <w:t xml:space="preserve"> </w:t>
      </w:r>
      <w:r>
        <w:t xml:space="preserve">with the Secretary of each appropriate Federal land management agency (FLMA), </w:t>
      </w:r>
      <w:r w:rsidR="003E03A2">
        <w:t xml:space="preserve">to </w:t>
      </w:r>
      <w:r>
        <w:t>implement</w:t>
      </w:r>
      <w:r>
        <w:rPr>
          <w:spacing w:val="1"/>
        </w:rPr>
        <w:t xml:space="preserve"> </w:t>
      </w:r>
      <w:r>
        <w:t>transportation planning procedures for Federal lands facilities that are</w:t>
      </w:r>
      <w:r>
        <w:rPr>
          <w:spacing w:val="1"/>
        </w:rPr>
        <w:t xml:space="preserve"> </w:t>
      </w:r>
      <w:r>
        <w:t>consistent with the planning processes required under 23 U.S.C. 134 (Metropolitan</w:t>
      </w:r>
      <w:r>
        <w:rPr>
          <w:spacing w:val="1"/>
        </w:rPr>
        <w:t xml:space="preserve"> </w:t>
      </w:r>
      <w:r>
        <w:t>Transportation</w:t>
      </w:r>
      <w:r>
        <w:rPr>
          <w:spacing w:val="-2"/>
        </w:rPr>
        <w:t xml:space="preserve"> </w:t>
      </w:r>
      <w:r>
        <w:t>Planning)</w:t>
      </w:r>
      <w:r>
        <w:rPr>
          <w:spacing w:val="-1"/>
        </w:rPr>
        <w:t xml:space="preserve"> </w:t>
      </w:r>
      <w:r>
        <w:t>and</w:t>
      </w:r>
      <w:r>
        <w:rPr>
          <w:spacing w:val="-2"/>
        </w:rPr>
        <w:t xml:space="preserve"> </w:t>
      </w:r>
      <w:r>
        <w:t>135</w:t>
      </w:r>
      <w:r>
        <w:rPr>
          <w:spacing w:val="-2"/>
        </w:rPr>
        <w:t xml:space="preserve"> </w:t>
      </w:r>
      <w:r>
        <w:t>(Statewide</w:t>
      </w:r>
      <w:r>
        <w:rPr>
          <w:spacing w:val="-2"/>
        </w:rPr>
        <w:t xml:space="preserve"> </w:t>
      </w:r>
      <w:r>
        <w:t>and Nonmetropolitan</w:t>
      </w:r>
      <w:r>
        <w:rPr>
          <w:spacing w:val="-2"/>
        </w:rPr>
        <w:t xml:space="preserve"> </w:t>
      </w:r>
      <w:r>
        <w:t>Transportation</w:t>
      </w:r>
      <w:r>
        <w:rPr>
          <w:spacing w:val="-2"/>
        </w:rPr>
        <w:t xml:space="preserve"> </w:t>
      </w:r>
      <w:r>
        <w:t>Planning).</w:t>
      </w:r>
      <w:r w:rsidR="003E03A2">
        <w:t xml:space="preserve">  </w:t>
      </w:r>
      <w:r>
        <w:t>Therefore, the transportation planning program provides opportunities for inter-governmental</w:t>
      </w:r>
      <w:r>
        <w:rPr>
          <w:spacing w:val="1"/>
        </w:rPr>
        <w:t xml:space="preserve"> </w:t>
      </w:r>
      <w:r>
        <w:t>cooperation</w:t>
      </w:r>
      <w:r>
        <w:rPr>
          <w:spacing w:val="-3"/>
        </w:rPr>
        <w:t xml:space="preserve"> </w:t>
      </w:r>
      <w:r>
        <w:t>in</w:t>
      </w:r>
      <w:r>
        <w:rPr>
          <w:spacing w:val="-3"/>
        </w:rPr>
        <w:t xml:space="preserve"> </w:t>
      </w:r>
      <w:r>
        <w:t>performance-based</w:t>
      </w:r>
      <w:r w:rsidR="00FE1D95">
        <w:rPr>
          <w:spacing w:val="-3"/>
        </w:rPr>
        <w:t>, integrated</w:t>
      </w:r>
      <w:r w:rsidR="00E36BC3">
        <w:rPr>
          <w:spacing w:val="-3"/>
        </w:rPr>
        <w:t xml:space="preserve"> </w:t>
      </w:r>
      <w:r>
        <w:t>transportation</w:t>
      </w:r>
      <w:r>
        <w:rPr>
          <w:spacing w:val="-3"/>
        </w:rPr>
        <w:t xml:space="preserve"> </w:t>
      </w:r>
      <w:r>
        <w:t>planning,</w:t>
      </w:r>
      <w:r>
        <w:rPr>
          <w:spacing w:val="-3"/>
        </w:rPr>
        <w:t xml:space="preserve"> </w:t>
      </w:r>
      <w:r>
        <w:t>programming,</w:t>
      </w:r>
      <w:r>
        <w:rPr>
          <w:spacing w:val="-2"/>
        </w:rPr>
        <w:t xml:space="preserve"> </w:t>
      </w:r>
      <w:r>
        <w:t>and</w:t>
      </w:r>
      <w:r>
        <w:rPr>
          <w:spacing w:val="-3"/>
        </w:rPr>
        <w:t xml:space="preserve"> </w:t>
      </w:r>
      <w:r>
        <w:t>decision-making.</w:t>
      </w:r>
    </w:p>
    <w:p w14:paraId="646DB640" w14:textId="77777777" w:rsidR="005D6BFC" w:rsidRDefault="005D6BFC">
      <w:pPr>
        <w:pStyle w:val="BodyText"/>
        <w:spacing w:before="6"/>
      </w:pPr>
    </w:p>
    <w:p w14:paraId="091FDA48" w14:textId="2605A9F0" w:rsidR="001F151D" w:rsidRDefault="0042594A" w:rsidP="001F151D">
      <w:pPr>
        <w:widowControl/>
        <w:adjustRightInd w:val="0"/>
        <w:rPr>
          <w:rFonts w:eastAsiaTheme="minorHAnsi"/>
          <w:color w:val="000000"/>
          <w:sz w:val="24"/>
          <w:szCs w:val="24"/>
        </w:rPr>
      </w:pPr>
      <w:r w:rsidRPr="00DD146C">
        <w:rPr>
          <w:rFonts w:eastAsiaTheme="minorHAnsi"/>
          <w:sz w:val="24"/>
          <w:szCs w:val="24"/>
        </w:rPr>
        <w:t xml:space="preserve">Federal Lands Planning Program </w:t>
      </w:r>
      <w:r>
        <w:rPr>
          <w:rFonts w:eastAsiaTheme="minorHAnsi"/>
          <w:color w:val="0000FF"/>
          <w:sz w:val="24"/>
          <w:szCs w:val="24"/>
        </w:rPr>
        <w:t>(</w:t>
      </w:r>
      <w:r w:rsidR="00651AD3">
        <w:rPr>
          <w:rFonts w:eastAsiaTheme="minorHAnsi"/>
          <w:color w:val="000000"/>
          <w:sz w:val="24"/>
          <w:szCs w:val="24"/>
        </w:rPr>
        <w:t>FLPP</w:t>
      </w:r>
      <w:r>
        <w:rPr>
          <w:rFonts w:eastAsiaTheme="minorHAnsi"/>
          <w:color w:val="000000"/>
          <w:sz w:val="24"/>
          <w:szCs w:val="24"/>
        </w:rPr>
        <w:t xml:space="preserve">) </w:t>
      </w:r>
      <w:r w:rsidR="00651AD3">
        <w:rPr>
          <w:rFonts w:eastAsiaTheme="minorHAnsi"/>
          <w:color w:val="000000"/>
          <w:sz w:val="24"/>
          <w:szCs w:val="24"/>
        </w:rPr>
        <w:t>fund</w:t>
      </w:r>
      <w:r w:rsidR="00C65F2F">
        <w:rPr>
          <w:rFonts w:eastAsiaTheme="minorHAnsi"/>
          <w:color w:val="000000"/>
          <w:sz w:val="24"/>
          <w:szCs w:val="24"/>
        </w:rPr>
        <w:t xml:space="preserve">s </w:t>
      </w:r>
      <w:r w:rsidR="00651AD3">
        <w:rPr>
          <w:rFonts w:eastAsiaTheme="minorHAnsi"/>
          <w:color w:val="000000"/>
          <w:sz w:val="24"/>
          <w:szCs w:val="24"/>
        </w:rPr>
        <w:t>s</w:t>
      </w:r>
      <w:r w:rsidR="00245552" w:rsidRPr="003E03A2">
        <w:rPr>
          <w:rFonts w:eastAsiaTheme="minorHAnsi"/>
          <w:color w:val="000000"/>
          <w:sz w:val="24"/>
          <w:szCs w:val="24"/>
        </w:rPr>
        <w:t xml:space="preserve">upport a range of eligible activities described below.  </w:t>
      </w:r>
      <w:r w:rsidR="006B5AF2" w:rsidRPr="00B03483">
        <w:rPr>
          <w:rFonts w:eastAsiaTheme="minorHAnsi"/>
          <w:color w:val="000000"/>
          <w:sz w:val="24"/>
          <w:szCs w:val="24"/>
        </w:rPr>
        <w:t>The increase in the cap ceiling from 5% to 20% provides significant opportunities to advance planning</w:t>
      </w:r>
      <w:r w:rsidR="00B03483">
        <w:rPr>
          <w:rFonts w:eastAsiaTheme="minorHAnsi"/>
          <w:color w:val="000000"/>
          <w:sz w:val="24"/>
          <w:szCs w:val="24"/>
        </w:rPr>
        <w:t xml:space="preserve">, </w:t>
      </w:r>
      <w:r w:rsidR="006B5AF2" w:rsidRPr="00B03483">
        <w:rPr>
          <w:rFonts w:eastAsiaTheme="minorHAnsi"/>
          <w:color w:val="000000"/>
          <w:sz w:val="24"/>
          <w:szCs w:val="24"/>
        </w:rPr>
        <w:t>asset management</w:t>
      </w:r>
      <w:r w:rsidR="00B03483">
        <w:rPr>
          <w:rFonts w:eastAsiaTheme="minorHAnsi"/>
          <w:color w:val="000000"/>
          <w:sz w:val="24"/>
          <w:szCs w:val="24"/>
        </w:rPr>
        <w:t xml:space="preserve">, and research and innovation </w:t>
      </w:r>
      <w:r w:rsidR="006B5AF2" w:rsidRPr="00B03483">
        <w:rPr>
          <w:rFonts w:eastAsiaTheme="minorHAnsi"/>
          <w:color w:val="000000"/>
          <w:sz w:val="24"/>
          <w:szCs w:val="24"/>
        </w:rPr>
        <w:t>activities</w:t>
      </w:r>
      <w:r w:rsidR="00B03483">
        <w:rPr>
          <w:rFonts w:eastAsiaTheme="minorHAnsi"/>
          <w:color w:val="000000"/>
          <w:sz w:val="24"/>
          <w:szCs w:val="24"/>
        </w:rPr>
        <w:t xml:space="preserve">. </w:t>
      </w:r>
      <w:r w:rsidR="001169F7" w:rsidRPr="00B03483">
        <w:rPr>
          <w:rFonts w:eastAsiaTheme="minorHAnsi"/>
          <w:color w:val="000000"/>
          <w:sz w:val="24"/>
          <w:szCs w:val="24"/>
        </w:rPr>
        <w:t xml:space="preserve"> </w:t>
      </w:r>
    </w:p>
    <w:p w14:paraId="59EC9D61" w14:textId="77777777" w:rsidR="001F151D" w:rsidRPr="003E03A2" w:rsidRDefault="001F151D" w:rsidP="001F151D">
      <w:pPr>
        <w:widowControl/>
        <w:adjustRightInd w:val="0"/>
        <w:rPr>
          <w:rFonts w:eastAsiaTheme="minorHAnsi"/>
          <w:color w:val="000000"/>
          <w:sz w:val="24"/>
          <w:szCs w:val="24"/>
        </w:rPr>
      </w:pPr>
    </w:p>
    <w:p w14:paraId="5FF59B60" w14:textId="41848CDE" w:rsidR="005D6BFC" w:rsidRPr="002C32A4" w:rsidRDefault="009E7B7A" w:rsidP="00957143">
      <w:pPr>
        <w:pStyle w:val="Heading1"/>
        <w:ind w:left="0"/>
      </w:pPr>
      <w:r w:rsidRPr="002C32A4">
        <w:t>Eligibility</w:t>
      </w:r>
      <w:r w:rsidRPr="002C32A4">
        <w:rPr>
          <w:spacing w:val="-3"/>
        </w:rPr>
        <w:t xml:space="preserve"> </w:t>
      </w:r>
      <w:r w:rsidRPr="002C32A4">
        <w:t>Requirements</w:t>
      </w:r>
    </w:p>
    <w:p w14:paraId="2FD4BB9A" w14:textId="77777777" w:rsidR="00495EF9" w:rsidRPr="00495EF9" w:rsidRDefault="003927CE" w:rsidP="00957143">
      <w:pPr>
        <w:pStyle w:val="BodyText"/>
        <w:spacing w:before="277"/>
        <w:ind w:right="30"/>
      </w:pPr>
      <w:r w:rsidRPr="00495EF9">
        <w:t>Eligible activities include</w:t>
      </w:r>
      <w:r w:rsidR="00495EF9" w:rsidRPr="00495EF9">
        <w:t>:</w:t>
      </w:r>
    </w:p>
    <w:p w14:paraId="621B5B48" w14:textId="77777777" w:rsidR="00495EF9" w:rsidRDefault="009E7B7A" w:rsidP="00495EF9">
      <w:pPr>
        <w:pStyle w:val="BodyText"/>
        <w:numPr>
          <w:ilvl w:val="0"/>
          <w:numId w:val="4"/>
        </w:numPr>
        <w:spacing w:before="277"/>
        <w:ind w:right="30"/>
      </w:pPr>
      <w:r>
        <w:t xml:space="preserve">long-range transportation planning and coordination, </w:t>
      </w:r>
    </w:p>
    <w:p w14:paraId="31B0F859" w14:textId="6E7D728D" w:rsidR="00495EF9" w:rsidRDefault="00495EF9" w:rsidP="00495EF9">
      <w:pPr>
        <w:pStyle w:val="BodyText"/>
        <w:numPr>
          <w:ilvl w:val="0"/>
          <w:numId w:val="4"/>
        </w:numPr>
        <w:spacing w:before="277"/>
        <w:ind w:right="30"/>
      </w:pPr>
      <w:r>
        <w:t>Transportation Improvement Program (TIP) development,</w:t>
      </w:r>
    </w:p>
    <w:p w14:paraId="5A048C75" w14:textId="135C4FE0" w:rsidR="00495EF9" w:rsidRDefault="008351AB">
      <w:pPr>
        <w:pStyle w:val="BodyText"/>
        <w:numPr>
          <w:ilvl w:val="0"/>
          <w:numId w:val="4"/>
        </w:numPr>
        <w:spacing w:before="277"/>
        <w:ind w:right="30"/>
      </w:pPr>
      <w:r>
        <w:t>c</w:t>
      </w:r>
      <w:r w:rsidR="00495EF9">
        <w:t>oordination for inclusion of the Federal lands TIP into the Statewide Transportation Improvement Program,</w:t>
      </w:r>
    </w:p>
    <w:p w14:paraId="051F4C31" w14:textId="632CAB43" w:rsidR="00495EF9" w:rsidRDefault="00495EF9" w:rsidP="00495EF9">
      <w:pPr>
        <w:pStyle w:val="BodyText"/>
        <w:numPr>
          <w:ilvl w:val="0"/>
          <w:numId w:val="4"/>
        </w:numPr>
        <w:spacing w:before="277"/>
        <w:ind w:right="30"/>
      </w:pPr>
      <w:r>
        <w:t>data collection activities</w:t>
      </w:r>
      <w:r w:rsidR="0042594A">
        <w:t xml:space="preserve"> and asset management</w:t>
      </w:r>
      <w:r w:rsidR="00A124F3">
        <w:t xml:space="preserve"> (including Roadside Safety Audits),</w:t>
      </w:r>
    </w:p>
    <w:p w14:paraId="76C84EAD" w14:textId="1A3BD9CD" w:rsidR="00495EF9" w:rsidRDefault="00957143" w:rsidP="00495EF9">
      <w:pPr>
        <w:pStyle w:val="BodyText"/>
        <w:numPr>
          <w:ilvl w:val="0"/>
          <w:numId w:val="4"/>
        </w:numPr>
        <w:spacing w:before="277"/>
        <w:ind w:right="30"/>
      </w:pPr>
      <w:r>
        <w:t xml:space="preserve">cooperative </w:t>
      </w:r>
      <w:r w:rsidR="00E36BC3">
        <w:t xml:space="preserve">research and </w:t>
      </w:r>
      <w:r>
        <w:t xml:space="preserve">technology </w:t>
      </w:r>
      <w:r w:rsidR="00E36BC3">
        <w:t xml:space="preserve">deployment, </w:t>
      </w:r>
    </w:p>
    <w:p w14:paraId="528AB700" w14:textId="59076EDE" w:rsidR="005D6BFC" w:rsidRDefault="009E7B7A" w:rsidP="00495EF9">
      <w:pPr>
        <w:pStyle w:val="BodyText"/>
        <w:numPr>
          <w:ilvl w:val="0"/>
          <w:numId w:val="4"/>
        </w:numPr>
        <w:spacing w:before="277"/>
        <w:ind w:right="30"/>
      </w:pPr>
      <w:r>
        <w:lastRenderedPageBreak/>
        <w:t xml:space="preserve">and </w:t>
      </w:r>
      <w:r w:rsidR="00495EF9">
        <w:t>inspections of federally</w:t>
      </w:r>
      <w:r w:rsidR="00F56F1C">
        <w:t xml:space="preserve"> </w:t>
      </w:r>
      <w:r w:rsidR="00495EF9">
        <w:t>owned bridges.</w:t>
      </w:r>
    </w:p>
    <w:p w14:paraId="3D30F6BE" w14:textId="3BF16AAC" w:rsidR="00FF20E6" w:rsidRDefault="00FF20E6">
      <w:pPr>
        <w:pStyle w:val="BodyText"/>
        <w:spacing w:before="10"/>
      </w:pPr>
    </w:p>
    <w:p w14:paraId="1A532F6B" w14:textId="77777777" w:rsidR="00DD59D9" w:rsidRPr="002C32A4" w:rsidRDefault="00DD59D9" w:rsidP="00DD59D9">
      <w:pPr>
        <w:pStyle w:val="Heading1"/>
        <w:ind w:left="0"/>
      </w:pPr>
      <w:r w:rsidRPr="002C32A4">
        <w:t>Funding</w:t>
      </w:r>
    </w:p>
    <w:p w14:paraId="6285EC30" w14:textId="77777777" w:rsidR="00DD59D9" w:rsidRDefault="00DD59D9" w:rsidP="00DD59D9">
      <w:pPr>
        <w:pStyle w:val="BodyText"/>
        <w:spacing w:before="274"/>
      </w:pPr>
      <w:r>
        <w:t>The Infrastructure Investment and Jobs Act (IIJA) amended the funding provision that now reads:</w:t>
      </w:r>
    </w:p>
    <w:p w14:paraId="46C2CB2C" w14:textId="77777777" w:rsidR="00DD59D9" w:rsidRDefault="00DD59D9" w:rsidP="00DD59D9">
      <w:pPr>
        <w:pStyle w:val="PlainText"/>
        <w:ind w:left="400" w:firstLine="400"/>
        <w:jc w:val="both"/>
        <w:rPr>
          <w:rFonts w:ascii="Times New Roman" w:eastAsia="MS Mincho" w:hAnsi="Times New Roman"/>
        </w:rPr>
      </w:pPr>
    </w:p>
    <w:p w14:paraId="39F939BE" w14:textId="41756201" w:rsidR="00DD59D9" w:rsidRPr="00256968" w:rsidRDefault="00DD59D9" w:rsidP="00DD59D9">
      <w:pPr>
        <w:pStyle w:val="PlainText"/>
        <w:ind w:left="400" w:firstLine="400"/>
        <w:jc w:val="both"/>
        <w:rPr>
          <w:rFonts w:ascii="Times New Roman" w:eastAsia="MS Mincho" w:hAnsi="Times New Roman"/>
          <w:sz w:val="24"/>
          <w:szCs w:val="24"/>
        </w:rPr>
      </w:pPr>
      <w:r w:rsidRPr="00256968">
        <w:rPr>
          <w:rFonts w:ascii="Times New Roman" w:eastAsia="MS Mincho" w:hAnsi="Times New Roman"/>
          <w:sz w:val="24"/>
          <w:szCs w:val="24"/>
        </w:rPr>
        <w:t xml:space="preserve">(8) </w:t>
      </w:r>
      <w:r w:rsidR="00980BE0" w:rsidRPr="00256968">
        <w:rPr>
          <w:rFonts w:ascii="Times New Roman" w:eastAsia="MS Mincho" w:hAnsi="Times New Roman"/>
          <w:sz w:val="24"/>
          <w:szCs w:val="24"/>
        </w:rPr>
        <w:t>FUNDING. —</w:t>
      </w:r>
    </w:p>
    <w:p w14:paraId="2928F0F0" w14:textId="70828923" w:rsidR="00DD59D9" w:rsidRPr="00256968" w:rsidRDefault="00DD59D9" w:rsidP="00DD59D9">
      <w:pPr>
        <w:pStyle w:val="PlainText"/>
        <w:ind w:left="800" w:firstLine="400"/>
        <w:jc w:val="both"/>
        <w:rPr>
          <w:rFonts w:ascii="Times New Roman" w:eastAsia="MS Mincho" w:hAnsi="Times New Roman"/>
          <w:sz w:val="24"/>
          <w:szCs w:val="24"/>
        </w:rPr>
      </w:pPr>
      <w:r w:rsidRPr="00256968">
        <w:rPr>
          <w:rFonts w:ascii="Times New Roman" w:eastAsia="MS Mincho" w:hAnsi="Times New Roman"/>
          <w:sz w:val="24"/>
          <w:szCs w:val="24"/>
        </w:rPr>
        <w:t xml:space="preserve">(A) IN </w:t>
      </w:r>
      <w:proofErr w:type="gramStart"/>
      <w:r w:rsidRPr="00256968">
        <w:rPr>
          <w:rFonts w:ascii="Times New Roman" w:eastAsia="MS Mincho" w:hAnsi="Times New Roman"/>
          <w:sz w:val="24"/>
          <w:szCs w:val="24"/>
        </w:rPr>
        <w:t>GENERAL.—</w:t>
      </w:r>
      <w:proofErr w:type="gramEnd"/>
      <w:r w:rsidRPr="00256968">
        <w:rPr>
          <w:rFonts w:ascii="Times New Roman" w:eastAsia="MS Mincho" w:hAnsi="Times New Roman"/>
          <w:sz w:val="24"/>
          <w:szCs w:val="24"/>
        </w:rPr>
        <w:t>To carry out the activities described in this subsection for Federal lands transportation facilities, Federal lands access transportation facilities, and other federally owned roads open to public travel (as that term is defined in section 125</w:t>
      </w:r>
      <w:r w:rsidRPr="00A124F3">
        <w:rPr>
          <w:rFonts w:ascii="Times New Roman" w:eastAsia="MS Mincho" w:hAnsi="Times New Roman"/>
          <w:sz w:val="24"/>
          <w:szCs w:val="24"/>
        </w:rPr>
        <w:t xml:space="preserve">(e)), the Secretary shall for each fiscal year combine and use not greater than </w:t>
      </w:r>
      <w:r w:rsidRPr="00A124F3">
        <w:rPr>
          <w:rFonts w:ascii="Times New Roman" w:eastAsia="MS Mincho" w:hAnsi="Times New Roman"/>
          <w:b/>
          <w:bCs/>
          <w:sz w:val="24"/>
          <w:szCs w:val="24"/>
          <w:u w:val="single"/>
        </w:rPr>
        <w:t>20 percent</w:t>
      </w:r>
      <w:r w:rsidRPr="00A124F3">
        <w:rPr>
          <w:rFonts w:ascii="Times New Roman" w:eastAsia="MS Mincho" w:hAnsi="Times New Roman"/>
          <w:sz w:val="24"/>
          <w:szCs w:val="24"/>
        </w:rPr>
        <w:t xml:space="preserve"> of the funds authorized for programs under sections 203 and 204.</w:t>
      </w:r>
      <w:r w:rsidR="00A124F3" w:rsidRPr="00A124F3">
        <w:rPr>
          <w:rFonts w:ascii="Times New Roman" w:eastAsia="MS Mincho" w:hAnsi="Times New Roman"/>
          <w:sz w:val="24"/>
          <w:szCs w:val="24"/>
        </w:rPr>
        <w:t xml:space="preserve">  Under BIL and following</w:t>
      </w:r>
      <w:r w:rsidR="00A124F3">
        <w:rPr>
          <w:rFonts w:ascii="Times New Roman" w:eastAsia="MS Mincho" w:hAnsi="Times New Roman"/>
          <w:sz w:val="24"/>
          <w:szCs w:val="24"/>
        </w:rPr>
        <w:t xml:space="preserve"> extensive coordination with partners, approximately 8% from FLTP and FLAP will be used to fund Section 201 activities through 2026. </w:t>
      </w:r>
    </w:p>
    <w:p w14:paraId="180E2CDF" w14:textId="4AB9FFD7" w:rsidR="00DD59D9" w:rsidRDefault="00DD59D9" w:rsidP="00DD59D9">
      <w:pPr>
        <w:pStyle w:val="BodyText"/>
        <w:spacing w:before="274"/>
        <w:rPr>
          <w:spacing w:val="1"/>
        </w:rPr>
      </w:pPr>
      <w:r w:rsidRPr="00075C7D">
        <w:t>At the end of each fiscal year</w:t>
      </w:r>
      <w:r>
        <w:t xml:space="preserve">, FLMAs are required to </w:t>
      </w:r>
      <w:r w:rsidRPr="003A0EFA">
        <w:t xml:space="preserve">provide FHWA with </w:t>
      </w:r>
      <w:r>
        <w:t xml:space="preserve">the </w:t>
      </w:r>
      <w:r w:rsidRPr="003A0EFA">
        <w:t xml:space="preserve">unobligated </w:t>
      </w:r>
      <w:r>
        <w:t xml:space="preserve">balances of </w:t>
      </w:r>
      <w:r w:rsidR="004B44DE">
        <w:t>p</w:t>
      </w:r>
      <w:r w:rsidR="004B44DE" w:rsidRPr="003A0EFA">
        <w:t>lanning</w:t>
      </w:r>
      <w:r w:rsidR="00CD1898">
        <w:t xml:space="preserve"> funds to </w:t>
      </w:r>
      <w:r>
        <w:t xml:space="preserve">FHWA’s Office of the Chief Financial Officer and the Headquarters </w:t>
      </w:r>
      <w:r w:rsidR="0042594A">
        <w:t xml:space="preserve">and </w:t>
      </w:r>
      <w:r>
        <w:t>Office of Federal Lands Highway.</w:t>
      </w:r>
      <w:r>
        <w:rPr>
          <w:spacing w:val="1"/>
        </w:rPr>
        <w:t xml:space="preserve"> </w:t>
      </w:r>
    </w:p>
    <w:p w14:paraId="72DC3635" w14:textId="3146E95E" w:rsidR="00DD59D9" w:rsidRDefault="00A124F3" w:rsidP="00DD59D9">
      <w:pPr>
        <w:pStyle w:val="BodyText"/>
        <w:spacing w:before="277"/>
        <w:ind w:right="30"/>
      </w:pPr>
      <w:r>
        <w:t>F</w:t>
      </w:r>
      <w:r w:rsidR="00DD59D9">
        <w:t>unds are made available by FHWA to FLMAs</w:t>
      </w:r>
      <w:r>
        <w:t xml:space="preserve"> </w:t>
      </w:r>
      <w:r w:rsidR="00DD59D9">
        <w:t xml:space="preserve">based on their </w:t>
      </w:r>
      <w:r w:rsidR="008D1468">
        <w:t xml:space="preserve">approved </w:t>
      </w:r>
      <w:r w:rsidR="00DD59D9">
        <w:t>multi-year Unified Planning Work Plan(s)</w:t>
      </w:r>
      <w:r>
        <w:t>.  F</w:t>
      </w:r>
      <w:r w:rsidR="00DD59D9">
        <w:t xml:space="preserve">unds cannot be used toward any phase of a construction project.  </w:t>
      </w:r>
    </w:p>
    <w:p w14:paraId="5116EB4B" w14:textId="77777777" w:rsidR="0042594A" w:rsidRDefault="0042594A" w:rsidP="00DD59D9">
      <w:pPr>
        <w:pStyle w:val="BodyText"/>
        <w:spacing w:before="8"/>
      </w:pPr>
    </w:p>
    <w:p w14:paraId="1A3BAD91" w14:textId="77777777" w:rsidR="00DD59D9" w:rsidRPr="002C32A4" w:rsidRDefault="00DD59D9" w:rsidP="00DD59D9">
      <w:pPr>
        <w:pStyle w:val="Heading1"/>
        <w:ind w:left="0"/>
      </w:pPr>
      <w:r w:rsidRPr="002C32A4">
        <w:t>Period</w:t>
      </w:r>
      <w:r w:rsidRPr="002C32A4">
        <w:rPr>
          <w:spacing w:val="-5"/>
        </w:rPr>
        <w:t xml:space="preserve"> </w:t>
      </w:r>
      <w:r w:rsidRPr="002C32A4">
        <w:t>of</w:t>
      </w:r>
      <w:r w:rsidRPr="002C32A4">
        <w:rPr>
          <w:spacing w:val="-3"/>
        </w:rPr>
        <w:t xml:space="preserve"> </w:t>
      </w:r>
      <w:r w:rsidRPr="002C32A4">
        <w:t>Availability</w:t>
      </w:r>
    </w:p>
    <w:p w14:paraId="7E7E5310" w14:textId="77777777" w:rsidR="00DD59D9" w:rsidRDefault="00DD59D9" w:rsidP="00DD59D9">
      <w:pPr>
        <w:pStyle w:val="BodyText"/>
        <w:spacing w:before="274"/>
        <w:ind w:right="193"/>
      </w:pPr>
      <w:r>
        <w:t>The</w:t>
      </w:r>
      <w:r>
        <w:rPr>
          <w:spacing w:val="-3"/>
        </w:rPr>
        <w:t xml:space="preserve"> </w:t>
      </w:r>
      <w:r>
        <w:t>funds</w:t>
      </w:r>
      <w:r>
        <w:rPr>
          <w:spacing w:val="-2"/>
        </w:rPr>
        <w:t xml:space="preserve"> </w:t>
      </w:r>
      <w:r>
        <w:t>made available</w:t>
      </w:r>
      <w:r>
        <w:rPr>
          <w:spacing w:val="-3"/>
        </w:rPr>
        <w:t xml:space="preserve"> </w:t>
      </w:r>
      <w:r>
        <w:t>under</w:t>
      </w:r>
      <w:r>
        <w:rPr>
          <w:spacing w:val="-2"/>
        </w:rPr>
        <w:t xml:space="preserve"> </w:t>
      </w:r>
      <w:r>
        <w:t>this</w:t>
      </w:r>
      <w:r>
        <w:rPr>
          <w:spacing w:val="-2"/>
        </w:rPr>
        <w:t xml:space="preserve"> </w:t>
      </w:r>
      <w:r>
        <w:t>program</w:t>
      </w:r>
      <w:r>
        <w:rPr>
          <w:spacing w:val="-2"/>
        </w:rPr>
        <w:t xml:space="preserve"> </w:t>
      </w:r>
      <w:r>
        <w:t>are available</w:t>
      </w:r>
      <w:r>
        <w:rPr>
          <w:spacing w:val="-3"/>
        </w:rPr>
        <w:t xml:space="preserve"> </w:t>
      </w:r>
      <w:r>
        <w:t>for</w:t>
      </w:r>
      <w:r>
        <w:rPr>
          <w:spacing w:val="-3"/>
        </w:rPr>
        <w:t xml:space="preserve"> </w:t>
      </w:r>
      <w:r>
        <w:t>obligation</w:t>
      </w:r>
      <w:r>
        <w:rPr>
          <w:spacing w:val="-1"/>
        </w:rPr>
        <w:t xml:space="preserve"> </w:t>
      </w:r>
      <w:r>
        <w:t>for</w:t>
      </w:r>
      <w:r>
        <w:rPr>
          <w:spacing w:val="-3"/>
        </w:rPr>
        <w:t xml:space="preserve"> a period of </w:t>
      </w:r>
      <w:r>
        <w:t>three</w:t>
      </w:r>
      <w:r>
        <w:rPr>
          <w:spacing w:val="-2"/>
        </w:rPr>
        <w:t xml:space="preserve"> </w:t>
      </w:r>
      <w:r>
        <w:t>fiscal</w:t>
      </w:r>
      <w:r>
        <w:rPr>
          <w:spacing w:val="3"/>
        </w:rPr>
        <w:t xml:space="preserve"> </w:t>
      </w:r>
      <w:r>
        <w:t xml:space="preserve">years </w:t>
      </w:r>
      <w:r>
        <w:rPr>
          <w:spacing w:val="-57"/>
        </w:rPr>
        <w:t xml:space="preserve">  </w:t>
      </w:r>
      <w:r>
        <w:t>after</w:t>
      </w:r>
      <w:r>
        <w:rPr>
          <w:spacing w:val="-2"/>
        </w:rPr>
        <w:t xml:space="preserve"> </w:t>
      </w:r>
      <w:r>
        <w:t>the</w:t>
      </w:r>
      <w:r>
        <w:rPr>
          <w:spacing w:val="1"/>
        </w:rPr>
        <w:t xml:space="preserve"> close of the </w:t>
      </w:r>
      <w:r>
        <w:t>fiscal</w:t>
      </w:r>
      <w:r>
        <w:rPr>
          <w:spacing w:val="5"/>
        </w:rPr>
        <w:t xml:space="preserve"> </w:t>
      </w:r>
      <w:r>
        <w:t>year</w:t>
      </w:r>
      <w:r>
        <w:rPr>
          <w:spacing w:val="-1"/>
        </w:rPr>
        <w:t xml:space="preserve"> </w:t>
      </w:r>
      <w:r>
        <w:t>for</w:t>
      </w:r>
      <w:r>
        <w:rPr>
          <w:spacing w:val="-1"/>
        </w:rPr>
        <w:t xml:space="preserve"> </w:t>
      </w:r>
      <w:r>
        <w:t>which</w:t>
      </w:r>
      <w:r>
        <w:rPr>
          <w:spacing w:val="-1"/>
        </w:rPr>
        <w:t xml:space="preserve"> </w:t>
      </w:r>
      <w:r>
        <w:t>the</w:t>
      </w:r>
      <w:r>
        <w:rPr>
          <w:spacing w:val="-1"/>
        </w:rPr>
        <w:t xml:space="preserve"> </w:t>
      </w:r>
      <w:r>
        <w:t>funds were</w:t>
      </w:r>
      <w:r>
        <w:rPr>
          <w:spacing w:val="-1"/>
        </w:rPr>
        <w:t xml:space="preserve"> </w:t>
      </w:r>
      <w:r>
        <w:t>authorized.</w:t>
      </w:r>
    </w:p>
    <w:p w14:paraId="74C5D87C" w14:textId="77777777" w:rsidR="0042594A" w:rsidRDefault="0042594A" w:rsidP="00DD59D9">
      <w:pPr>
        <w:pStyle w:val="BodyText"/>
        <w:spacing w:before="11"/>
      </w:pPr>
    </w:p>
    <w:p w14:paraId="3856FA30" w14:textId="77777777" w:rsidR="00DD59D9" w:rsidRPr="002C32A4" w:rsidRDefault="00DD59D9" w:rsidP="00DD59D9">
      <w:pPr>
        <w:pStyle w:val="Heading1"/>
        <w:ind w:left="0"/>
      </w:pPr>
      <w:r w:rsidRPr="002C32A4">
        <w:t>Federal</w:t>
      </w:r>
      <w:r w:rsidRPr="002C32A4">
        <w:rPr>
          <w:spacing w:val="-1"/>
        </w:rPr>
        <w:t xml:space="preserve"> </w:t>
      </w:r>
      <w:r w:rsidRPr="002C32A4">
        <w:t>Share</w:t>
      </w:r>
    </w:p>
    <w:p w14:paraId="7BC8C778" w14:textId="77777777" w:rsidR="00DD59D9" w:rsidRDefault="00DD59D9" w:rsidP="00DD59D9">
      <w:pPr>
        <w:pStyle w:val="BodyText"/>
        <w:spacing w:before="274"/>
      </w:pPr>
      <w:r>
        <w:t>The</w:t>
      </w:r>
      <w:r>
        <w:rPr>
          <w:spacing w:val="-2"/>
        </w:rPr>
        <w:t xml:space="preserve"> </w:t>
      </w:r>
      <w:r>
        <w:t>Federal</w:t>
      </w:r>
      <w:r>
        <w:rPr>
          <w:spacing w:val="-1"/>
        </w:rPr>
        <w:t xml:space="preserve"> </w:t>
      </w:r>
      <w:r>
        <w:t>share</w:t>
      </w:r>
      <w:r>
        <w:rPr>
          <w:spacing w:val="1"/>
        </w:rPr>
        <w:t xml:space="preserve"> </w:t>
      </w:r>
      <w:r>
        <w:t>for</w:t>
      </w:r>
      <w:r>
        <w:rPr>
          <w:spacing w:val="-2"/>
        </w:rPr>
        <w:t xml:space="preserve"> </w:t>
      </w:r>
      <w:r>
        <w:t>activities funded</w:t>
      </w:r>
      <w:r>
        <w:rPr>
          <w:spacing w:val="-1"/>
        </w:rPr>
        <w:t xml:space="preserve"> </w:t>
      </w:r>
      <w:r>
        <w:t>by</w:t>
      </w:r>
      <w:r>
        <w:rPr>
          <w:spacing w:val="-5"/>
        </w:rPr>
        <w:t xml:space="preserve"> </w:t>
      </w:r>
      <w:r>
        <w:t>the</w:t>
      </w:r>
      <w:r>
        <w:rPr>
          <w:spacing w:val="-2"/>
        </w:rPr>
        <w:t xml:space="preserve"> </w:t>
      </w:r>
      <w:r>
        <w:rPr>
          <w:spacing w:val="-1"/>
        </w:rPr>
        <w:t xml:space="preserve">planning cap </w:t>
      </w:r>
      <w:r>
        <w:t>is 100</w:t>
      </w:r>
      <w:r>
        <w:rPr>
          <w:spacing w:val="-1"/>
        </w:rPr>
        <w:t xml:space="preserve"> </w:t>
      </w:r>
      <w:r>
        <w:t>percent.</w:t>
      </w:r>
    </w:p>
    <w:p w14:paraId="0C2EB101" w14:textId="77777777" w:rsidR="0042594A" w:rsidRDefault="0042594A" w:rsidP="00DD59D9">
      <w:pPr>
        <w:pStyle w:val="BodyText"/>
        <w:spacing w:before="10"/>
      </w:pPr>
    </w:p>
    <w:p w14:paraId="1AFF7F4D" w14:textId="0376217C" w:rsidR="005D6BFC" w:rsidRPr="002C32A4" w:rsidRDefault="009E7B7A" w:rsidP="008E1D03">
      <w:pPr>
        <w:pStyle w:val="Heading1"/>
        <w:ind w:left="0"/>
        <w:jc w:val="both"/>
      </w:pPr>
      <w:bookmarkStart w:id="5" w:name="Period_of_Availability"/>
      <w:bookmarkStart w:id="6" w:name="Federal_Share"/>
      <w:bookmarkStart w:id="7" w:name="The_Federal_share_for_activities_funded_"/>
      <w:bookmarkStart w:id="8" w:name="Transfers_or_&quot;Loan&quot;_Provisions"/>
      <w:bookmarkStart w:id="9" w:name="Program_Administration"/>
      <w:bookmarkEnd w:id="5"/>
      <w:bookmarkEnd w:id="6"/>
      <w:bookmarkEnd w:id="7"/>
      <w:bookmarkEnd w:id="8"/>
      <w:bookmarkEnd w:id="9"/>
      <w:r w:rsidRPr="002C32A4">
        <w:t>Program</w:t>
      </w:r>
      <w:r w:rsidRPr="002C32A4">
        <w:rPr>
          <w:spacing w:val="-6"/>
        </w:rPr>
        <w:t xml:space="preserve"> </w:t>
      </w:r>
      <w:r w:rsidRPr="002C32A4">
        <w:t>Administration</w:t>
      </w:r>
    </w:p>
    <w:p w14:paraId="3FF4F437" w14:textId="77777777" w:rsidR="00C4552F" w:rsidRDefault="00C4552F">
      <w:pPr>
        <w:pStyle w:val="BodyText"/>
        <w:ind w:left="119" w:right="193"/>
        <w:rPr>
          <w:u w:val="single"/>
        </w:rPr>
      </w:pPr>
      <w:bookmarkStart w:id="10" w:name="Work_Plan"/>
      <w:bookmarkEnd w:id="10"/>
    </w:p>
    <w:p w14:paraId="52395B80" w14:textId="357C1C53" w:rsidR="005D6BFC" w:rsidRDefault="009E7B7A" w:rsidP="008E1D03">
      <w:pPr>
        <w:pStyle w:val="BodyText"/>
        <w:ind w:right="193"/>
      </w:pPr>
      <w:bookmarkStart w:id="11" w:name="_Hlk132785433"/>
      <w:r>
        <w:t>FLTP</w:t>
      </w:r>
      <w:r>
        <w:rPr>
          <w:spacing w:val="-2"/>
        </w:rPr>
        <w:t xml:space="preserve"> </w:t>
      </w:r>
      <w:r>
        <w:t>partners,</w:t>
      </w:r>
      <w:r>
        <w:rPr>
          <w:spacing w:val="-2"/>
        </w:rPr>
        <w:t xml:space="preserve"> </w:t>
      </w:r>
      <w:r>
        <w:t>in</w:t>
      </w:r>
      <w:r>
        <w:rPr>
          <w:spacing w:val="-2"/>
        </w:rPr>
        <w:t xml:space="preserve"> </w:t>
      </w:r>
      <w:r>
        <w:t>cooperation</w:t>
      </w:r>
      <w:r>
        <w:rPr>
          <w:spacing w:val="-2"/>
        </w:rPr>
        <w:t xml:space="preserve"> </w:t>
      </w:r>
      <w:r>
        <w:t>with</w:t>
      </w:r>
      <w:r>
        <w:rPr>
          <w:spacing w:val="-1"/>
        </w:rPr>
        <w:t xml:space="preserve"> </w:t>
      </w:r>
      <w:r>
        <w:t>the</w:t>
      </w:r>
      <w:r>
        <w:rPr>
          <w:spacing w:val="-3"/>
        </w:rPr>
        <w:t xml:space="preserve"> </w:t>
      </w:r>
      <w:r>
        <w:t>Office</w:t>
      </w:r>
      <w:r>
        <w:rPr>
          <w:spacing w:val="-3"/>
        </w:rPr>
        <w:t xml:space="preserve"> </w:t>
      </w:r>
      <w:r>
        <w:t>of</w:t>
      </w:r>
      <w:r>
        <w:rPr>
          <w:spacing w:val="-3"/>
        </w:rPr>
        <w:t xml:space="preserve"> </w:t>
      </w:r>
      <w:r>
        <w:t>Federal</w:t>
      </w:r>
      <w:r>
        <w:rPr>
          <w:spacing w:val="1"/>
        </w:rPr>
        <w:t xml:space="preserve"> </w:t>
      </w:r>
      <w:r>
        <w:t>Lands</w:t>
      </w:r>
      <w:r>
        <w:rPr>
          <w:spacing w:val="-2"/>
        </w:rPr>
        <w:t xml:space="preserve"> </w:t>
      </w:r>
      <w:r>
        <w:t>Highway</w:t>
      </w:r>
      <w:r>
        <w:rPr>
          <w:spacing w:val="-5"/>
        </w:rPr>
        <w:t xml:space="preserve"> </w:t>
      </w:r>
      <w:r>
        <w:t>(FLH),</w:t>
      </w:r>
      <w:r>
        <w:rPr>
          <w:spacing w:val="-2"/>
        </w:rPr>
        <w:t xml:space="preserve"> </w:t>
      </w:r>
      <w:r>
        <w:t>will</w:t>
      </w:r>
      <w:r>
        <w:rPr>
          <w:spacing w:val="-1"/>
        </w:rPr>
        <w:t xml:space="preserve"> </w:t>
      </w:r>
      <w:r>
        <w:t>develop</w:t>
      </w:r>
      <w:r>
        <w:rPr>
          <w:spacing w:val="-2"/>
        </w:rPr>
        <w:t xml:space="preserve"> </w:t>
      </w:r>
      <w:r>
        <w:t>a</w:t>
      </w:r>
      <w:r w:rsidR="00D52106">
        <w:t xml:space="preserve"> multi-year</w:t>
      </w:r>
      <w:r>
        <w:rPr>
          <w:spacing w:val="-57"/>
        </w:rPr>
        <w:t xml:space="preserve"> </w:t>
      </w:r>
      <w:r w:rsidR="00DC2F35">
        <w:rPr>
          <w:spacing w:val="-57"/>
        </w:rPr>
        <w:t xml:space="preserve"> </w:t>
      </w:r>
      <w:r>
        <w:t xml:space="preserve"> </w:t>
      </w:r>
      <w:r w:rsidR="00DC2F35">
        <w:t>Unified Planning Work Program (UPWP)</w:t>
      </w:r>
      <w:r w:rsidR="00FA0F28">
        <w:t xml:space="preserve">.  Activities and related budgets for Year 1 of the multi-year will be completed </w:t>
      </w:r>
      <w:r>
        <w:t xml:space="preserve">by </w:t>
      </w:r>
      <w:r w:rsidR="00FA0F28">
        <w:t xml:space="preserve">1 October.  </w:t>
      </w:r>
      <w:bookmarkEnd w:id="11"/>
      <w:r w:rsidR="00D52106">
        <w:t>The UPWPs will include all servicing organizations, e.g., FLH division offices, Volpe Transportation Center</w:t>
      </w:r>
      <w:r w:rsidR="00FC089F">
        <w:t xml:space="preserve">, and their associated tasks to </w:t>
      </w:r>
      <w:r>
        <w:t>enhance transparency, accountability,</w:t>
      </w:r>
      <w:r>
        <w:rPr>
          <w:spacing w:val="1"/>
        </w:rPr>
        <w:t xml:space="preserve"> </w:t>
      </w:r>
      <w:r>
        <w:t>and coordination; reduce duplication of similar activities; and strengthen our joint stewardship</w:t>
      </w:r>
      <w:r>
        <w:rPr>
          <w:spacing w:val="1"/>
        </w:rPr>
        <w:t xml:space="preserve"> </w:t>
      </w:r>
      <w:r>
        <w:t>and oversight of planning funds.</w:t>
      </w:r>
      <w:r>
        <w:rPr>
          <w:spacing w:val="1"/>
        </w:rPr>
        <w:t xml:space="preserve"> </w:t>
      </w:r>
      <w:r w:rsidR="00790BE8">
        <w:rPr>
          <w:spacing w:val="1"/>
        </w:rPr>
        <w:t xml:space="preserve">  </w:t>
      </w:r>
    </w:p>
    <w:p w14:paraId="7D782C2A" w14:textId="3349A977" w:rsidR="005D6BFC" w:rsidRDefault="005D6BFC">
      <w:pPr>
        <w:pStyle w:val="BodyText"/>
      </w:pPr>
    </w:p>
    <w:p w14:paraId="2548EB69" w14:textId="77777777" w:rsidR="00B714A3" w:rsidRPr="002C32A4" w:rsidRDefault="00B714A3" w:rsidP="00B714A3">
      <w:pPr>
        <w:pStyle w:val="BodyText"/>
        <w:rPr>
          <w:b/>
          <w:bCs/>
          <w:sz w:val="36"/>
          <w:szCs w:val="36"/>
        </w:rPr>
      </w:pPr>
      <w:r w:rsidRPr="002C32A4">
        <w:rPr>
          <w:b/>
          <w:bCs/>
          <w:sz w:val="36"/>
          <w:szCs w:val="36"/>
        </w:rPr>
        <w:t>Reporting</w:t>
      </w:r>
    </w:p>
    <w:p w14:paraId="797BF235" w14:textId="77777777" w:rsidR="00B714A3" w:rsidRPr="00075C7D" w:rsidRDefault="00B714A3" w:rsidP="00B714A3">
      <w:pPr>
        <w:pStyle w:val="BodyText"/>
        <w:rPr>
          <w:b/>
          <w:bCs/>
          <w:u w:val="single"/>
        </w:rPr>
      </w:pPr>
    </w:p>
    <w:p w14:paraId="2307DE02" w14:textId="2A5D20B4" w:rsidR="00B714A3" w:rsidRDefault="00B714A3" w:rsidP="00B714A3">
      <w:pPr>
        <w:pStyle w:val="BodyText"/>
        <w:rPr>
          <w:b/>
          <w:bCs/>
          <w:sz w:val="22"/>
          <w:szCs w:val="22"/>
          <w:u w:val="single"/>
        </w:rPr>
      </w:pPr>
      <w:bookmarkStart w:id="12" w:name="_Hlk132787004"/>
      <w:r w:rsidRPr="00DD146C">
        <w:rPr>
          <w:b/>
          <w:bCs/>
          <w:sz w:val="22"/>
          <w:szCs w:val="22"/>
          <w:u w:val="single"/>
        </w:rPr>
        <w:t>FLPP Quarterly Reporting</w:t>
      </w:r>
    </w:p>
    <w:p w14:paraId="51BC710E" w14:textId="77777777" w:rsidR="00790BE8" w:rsidRPr="00DD146C" w:rsidRDefault="00790BE8" w:rsidP="00B714A3">
      <w:pPr>
        <w:pStyle w:val="BodyText"/>
        <w:rPr>
          <w:b/>
          <w:bCs/>
          <w:sz w:val="22"/>
          <w:szCs w:val="22"/>
          <w:u w:val="single"/>
        </w:rPr>
      </w:pPr>
    </w:p>
    <w:p w14:paraId="5EEF20EE" w14:textId="39196F9E" w:rsidR="00790BE8" w:rsidRPr="00075C7D" w:rsidRDefault="008351AB" w:rsidP="00790BE8">
      <w:pPr>
        <w:pStyle w:val="BodyText"/>
      </w:pPr>
      <w:r>
        <w:t xml:space="preserve">Using fiscal year (FY) quarters, </w:t>
      </w:r>
      <w:r w:rsidR="00B714A3" w:rsidRPr="00075C7D">
        <w:t>partners will provide the FLH</w:t>
      </w:r>
      <w:r w:rsidR="00B714A3" w:rsidRPr="00075C7D">
        <w:rPr>
          <w:spacing w:val="1"/>
        </w:rPr>
        <w:t xml:space="preserve"> </w:t>
      </w:r>
      <w:r w:rsidR="00B714A3" w:rsidRPr="00075C7D">
        <w:t xml:space="preserve">Headquarters Planning Program Manager with a </w:t>
      </w:r>
      <w:r>
        <w:t xml:space="preserve">quarterly </w:t>
      </w:r>
      <w:r w:rsidR="00B714A3" w:rsidRPr="00075C7D">
        <w:t xml:space="preserve">report showing cumulative </w:t>
      </w:r>
      <w:r w:rsidR="00EC3257">
        <w:t xml:space="preserve">obligation and expenditure </w:t>
      </w:r>
      <w:r w:rsidR="00B714A3" w:rsidRPr="00075C7D">
        <w:t>information for each budgeted FLPP activity</w:t>
      </w:r>
      <w:r>
        <w:t xml:space="preserve"> by the end of the following month, e.g., 1</w:t>
      </w:r>
      <w:r w:rsidRPr="008351AB">
        <w:rPr>
          <w:vertAlign w:val="superscript"/>
        </w:rPr>
        <w:t>st</w:t>
      </w:r>
      <w:r>
        <w:t xml:space="preserve"> quarter report is due by January 31</w:t>
      </w:r>
      <w:r w:rsidRPr="008351AB">
        <w:rPr>
          <w:vertAlign w:val="superscript"/>
        </w:rPr>
        <w:t>st</w:t>
      </w:r>
      <w:r w:rsidR="00B714A3" w:rsidRPr="00075C7D">
        <w:t>.</w:t>
      </w:r>
      <w:r w:rsidR="00B714A3" w:rsidRPr="00075C7D">
        <w:rPr>
          <w:spacing w:val="1"/>
        </w:rPr>
        <w:t xml:space="preserve">  </w:t>
      </w:r>
      <w:r w:rsidR="00B714A3" w:rsidRPr="00075C7D">
        <w:t xml:space="preserve">This information will provide visibility and accountability on the uses of planning funds and provide potential areas of opportunity to work and leverage funds across agencies for </w:t>
      </w:r>
      <w:r w:rsidR="00B714A3" w:rsidRPr="00075C7D">
        <w:lastRenderedPageBreak/>
        <w:t>similar activities. </w:t>
      </w:r>
      <w:r w:rsidR="00790BE8" w:rsidRPr="00075C7D">
        <w:t xml:space="preserve">The </w:t>
      </w:r>
      <w:r w:rsidR="00790BE8">
        <w:t xml:space="preserve">timely </w:t>
      </w:r>
      <w:r w:rsidR="00790BE8" w:rsidRPr="00075C7D">
        <w:t xml:space="preserve">receipt of </w:t>
      </w:r>
      <w:r w:rsidR="00790BE8">
        <w:t xml:space="preserve">quarterly </w:t>
      </w:r>
      <w:r w:rsidR="00790BE8" w:rsidRPr="00075C7D">
        <w:t>report</w:t>
      </w:r>
      <w:r w:rsidR="00790BE8">
        <w:t>s</w:t>
      </w:r>
      <w:r w:rsidR="00790BE8" w:rsidRPr="00075C7D">
        <w:t xml:space="preserve"> </w:t>
      </w:r>
      <w:r w:rsidR="00790BE8">
        <w:t>is needed</w:t>
      </w:r>
      <w:r w:rsidR="00790BE8" w:rsidRPr="00075C7D">
        <w:t xml:space="preserve"> before full</w:t>
      </w:r>
      <w:r w:rsidR="00790BE8">
        <w:t xml:space="preserve"> </w:t>
      </w:r>
      <w:r w:rsidR="00790BE8" w:rsidRPr="00075C7D">
        <w:t>planning funds are made available in the next FY.</w:t>
      </w:r>
      <w:r w:rsidR="00790BE8">
        <w:t xml:space="preserve">  Note:  Under a continuing resolution, initial, partial planning allocations will be initiated to fund salaries and high priority activities.  Following the enactment of the annual appropriation act where annual funds are made available, funds will be transferred to partners and/or FLH division offices following the receipt of the 4</w:t>
      </w:r>
      <w:r w:rsidR="00790BE8" w:rsidRPr="00790BE8">
        <w:rPr>
          <w:vertAlign w:val="superscript"/>
        </w:rPr>
        <w:t>th</w:t>
      </w:r>
      <w:r w:rsidR="00790BE8">
        <w:t xml:space="preserve"> quarter report from the preceding year.  </w:t>
      </w:r>
    </w:p>
    <w:p w14:paraId="4EAD2CE4" w14:textId="75576AE6" w:rsidR="00B714A3" w:rsidRPr="00075C7D" w:rsidRDefault="00B714A3" w:rsidP="00790BE8">
      <w:pPr>
        <w:pStyle w:val="BodyText"/>
      </w:pPr>
      <w:r w:rsidRPr="00075C7D">
        <w:t xml:space="preserve"> </w:t>
      </w:r>
    </w:p>
    <w:p w14:paraId="649FFDAB" w14:textId="454A13DB" w:rsidR="00B714A3" w:rsidRDefault="00B714A3" w:rsidP="00B714A3">
      <w:pPr>
        <w:rPr>
          <w:b/>
          <w:bCs/>
          <w:u w:val="single"/>
        </w:rPr>
      </w:pPr>
      <w:r w:rsidRPr="00DD146C">
        <w:rPr>
          <w:b/>
          <w:bCs/>
          <w:u w:val="single"/>
        </w:rPr>
        <w:t>Annual Accomplishments Report</w:t>
      </w:r>
    </w:p>
    <w:bookmarkEnd w:id="12"/>
    <w:p w14:paraId="45E8965E" w14:textId="77777777" w:rsidR="00790BE8" w:rsidRPr="00DD146C" w:rsidRDefault="00790BE8" w:rsidP="00B714A3">
      <w:pPr>
        <w:rPr>
          <w:b/>
          <w:bCs/>
          <w:u w:val="single"/>
        </w:rPr>
      </w:pPr>
    </w:p>
    <w:p w14:paraId="68D376F7" w14:textId="6158E52F" w:rsidR="00B714A3" w:rsidRPr="00075C7D" w:rsidRDefault="00B714A3" w:rsidP="00B714A3">
      <w:pPr>
        <w:pStyle w:val="BodyText"/>
      </w:pPr>
      <w:r w:rsidRPr="00075C7D">
        <w:t xml:space="preserve">Following the completion of the fiscal year (FY) and by </w:t>
      </w:r>
      <w:r w:rsidRPr="000F44C3">
        <w:t>April 1</w:t>
      </w:r>
      <w:r w:rsidRPr="000F44C3">
        <w:rPr>
          <w:vertAlign w:val="superscript"/>
        </w:rPr>
        <w:t>st</w:t>
      </w:r>
      <w:r w:rsidRPr="00075C7D">
        <w:t xml:space="preserve"> of the subsequent FY, partners will provide the FLH</w:t>
      </w:r>
      <w:r w:rsidRPr="00075C7D">
        <w:rPr>
          <w:spacing w:val="1"/>
        </w:rPr>
        <w:t xml:space="preserve"> </w:t>
      </w:r>
      <w:r w:rsidRPr="00075C7D">
        <w:t xml:space="preserve">Headquarters Planning Program Manager with an Annual Accomplishment Report with </w:t>
      </w:r>
      <w:r w:rsidR="00790BE8">
        <w:t xml:space="preserve">detailed </w:t>
      </w:r>
      <w:r w:rsidRPr="00075C7D">
        <w:t>information for the</w:t>
      </w:r>
      <w:r w:rsidRPr="00075C7D">
        <w:rPr>
          <w:spacing w:val="1"/>
        </w:rPr>
        <w:t xml:space="preserve"> </w:t>
      </w:r>
      <w:r w:rsidRPr="00075C7D">
        <w:t>previous year.</w:t>
      </w:r>
      <w:r w:rsidRPr="00075C7D">
        <w:rPr>
          <w:spacing w:val="1"/>
        </w:rPr>
        <w:t xml:space="preserve"> </w:t>
      </w:r>
      <w:r w:rsidRPr="00075C7D">
        <w:t>The Annual Accomplishments Report is to describe the FLMAs accomplishments in alignment with their Investment Strategy.  The receipt of this report is anticipated before full, i.e., not partial, planning funds are made available in the next FY.</w:t>
      </w:r>
    </w:p>
    <w:p w14:paraId="0155C0AC" w14:textId="3AE0851B" w:rsidR="005D6BFC" w:rsidRDefault="005D6BFC" w:rsidP="00075C7D">
      <w:pPr>
        <w:pStyle w:val="BodyText"/>
        <w:ind w:left="120"/>
      </w:pPr>
    </w:p>
    <w:sectPr w:rsidR="005D6BFC">
      <w:headerReference w:type="default" r:id="rId8"/>
      <w:pgSz w:w="12240" w:h="15840"/>
      <w:pgMar w:top="1340" w:right="1340" w:bottom="280" w:left="1320" w:header="7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CDA0" w14:textId="77777777" w:rsidR="00DB04DA" w:rsidRDefault="00DB04DA">
      <w:r>
        <w:separator/>
      </w:r>
    </w:p>
  </w:endnote>
  <w:endnote w:type="continuationSeparator" w:id="0">
    <w:p w14:paraId="62B2C551" w14:textId="77777777" w:rsidR="00DB04DA" w:rsidRDefault="00DB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BD55" w14:textId="77777777" w:rsidR="00DB04DA" w:rsidRDefault="00DB04DA">
      <w:r>
        <w:separator/>
      </w:r>
    </w:p>
  </w:footnote>
  <w:footnote w:type="continuationSeparator" w:id="0">
    <w:p w14:paraId="00340F8A" w14:textId="77777777" w:rsidR="00DB04DA" w:rsidRDefault="00DB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DF48" w14:textId="1CA30AC0" w:rsidR="006B29F4" w:rsidRPr="00B03483" w:rsidRDefault="006B29F4" w:rsidP="00B03483">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6DAC"/>
    <w:multiLevelType w:val="hybridMultilevel"/>
    <w:tmpl w:val="D0004B4A"/>
    <w:lvl w:ilvl="0" w:tplc="0EF414A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FBA6803"/>
    <w:multiLevelType w:val="hybridMultilevel"/>
    <w:tmpl w:val="F74A9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4836BF3"/>
    <w:multiLevelType w:val="multilevel"/>
    <w:tmpl w:val="34E24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45025"/>
    <w:multiLevelType w:val="hybridMultilevel"/>
    <w:tmpl w:val="E8DE3CAC"/>
    <w:lvl w:ilvl="0" w:tplc="E0E06F64">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A6024CD"/>
    <w:multiLevelType w:val="hybridMultilevel"/>
    <w:tmpl w:val="B344EC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077755C"/>
    <w:multiLevelType w:val="hybridMultilevel"/>
    <w:tmpl w:val="0E90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34897"/>
    <w:multiLevelType w:val="hybridMultilevel"/>
    <w:tmpl w:val="F95CF850"/>
    <w:lvl w:ilvl="0" w:tplc="B51C609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6CB93510"/>
    <w:multiLevelType w:val="hybridMultilevel"/>
    <w:tmpl w:val="C61C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289150">
    <w:abstractNumId w:val="0"/>
  </w:num>
  <w:num w:numId="2" w16cid:durableId="969745876">
    <w:abstractNumId w:val="3"/>
  </w:num>
  <w:num w:numId="3" w16cid:durableId="2005472820">
    <w:abstractNumId w:val="6"/>
  </w:num>
  <w:num w:numId="4" w16cid:durableId="1068501514">
    <w:abstractNumId w:val="1"/>
  </w:num>
  <w:num w:numId="5" w16cid:durableId="517737419">
    <w:abstractNumId w:val="7"/>
  </w:num>
  <w:num w:numId="6" w16cid:durableId="172959298">
    <w:abstractNumId w:val="5"/>
  </w:num>
  <w:num w:numId="7" w16cid:durableId="656764201">
    <w:abstractNumId w:val="2"/>
  </w:num>
  <w:num w:numId="8" w16cid:durableId="626199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FC"/>
    <w:rsid w:val="000042D5"/>
    <w:rsid w:val="00025F39"/>
    <w:rsid w:val="00075C7D"/>
    <w:rsid w:val="00082CEC"/>
    <w:rsid w:val="000C2FA2"/>
    <w:rsid w:val="000F44C3"/>
    <w:rsid w:val="001169F7"/>
    <w:rsid w:val="00177574"/>
    <w:rsid w:val="00187322"/>
    <w:rsid w:val="001B2660"/>
    <w:rsid w:val="001D3E3E"/>
    <w:rsid w:val="001F151D"/>
    <w:rsid w:val="001F2475"/>
    <w:rsid w:val="001F5E68"/>
    <w:rsid w:val="0020696E"/>
    <w:rsid w:val="00222BEB"/>
    <w:rsid w:val="00245552"/>
    <w:rsid w:val="00256968"/>
    <w:rsid w:val="002604E4"/>
    <w:rsid w:val="002C32A4"/>
    <w:rsid w:val="002E6409"/>
    <w:rsid w:val="003502CC"/>
    <w:rsid w:val="00372CD9"/>
    <w:rsid w:val="00390AC2"/>
    <w:rsid w:val="003927CE"/>
    <w:rsid w:val="003A0EFA"/>
    <w:rsid w:val="003A74C2"/>
    <w:rsid w:val="003E03A2"/>
    <w:rsid w:val="00410FB8"/>
    <w:rsid w:val="0042594A"/>
    <w:rsid w:val="00495EF9"/>
    <w:rsid w:val="004B44DE"/>
    <w:rsid w:val="004B4CC9"/>
    <w:rsid w:val="004D7EBF"/>
    <w:rsid w:val="004E15A2"/>
    <w:rsid w:val="00506735"/>
    <w:rsid w:val="005672EA"/>
    <w:rsid w:val="005D6BFC"/>
    <w:rsid w:val="0062382E"/>
    <w:rsid w:val="00625F63"/>
    <w:rsid w:val="00647263"/>
    <w:rsid w:val="00651AD3"/>
    <w:rsid w:val="00673C49"/>
    <w:rsid w:val="006A0A1C"/>
    <w:rsid w:val="006A7BE5"/>
    <w:rsid w:val="006B29F4"/>
    <w:rsid w:val="006B5AF2"/>
    <w:rsid w:val="006D0BE7"/>
    <w:rsid w:val="0070606E"/>
    <w:rsid w:val="00790BE8"/>
    <w:rsid w:val="007974CC"/>
    <w:rsid w:val="007A646A"/>
    <w:rsid w:val="007B72C0"/>
    <w:rsid w:val="007F42DA"/>
    <w:rsid w:val="00802B48"/>
    <w:rsid w:val="008351AB"/>
    <w:rsid w:val="008A2A0F"/>
    <w:rsid w:val="008C3848"/>
    <w:rsid w:val="008D1468"/>
    <w:rsid w:val="008E1D03"/>
    <w:rsid w:val="008E493A"/>
    <w:rsid w:val="00921523"/>
    <w:rsid w:val="00957143"/>
    <w:rsid w:val="0097311E"/>
    <w:rsid w:val="00980BE0"/>
    <w:rsid w:val="009C6175"/>
    <w:rsid w:val="009E400E"/>
    <w:rsid w:val="009E7B7A"/>
    <w:rsid w:val="00A124F3"/>
    <w:rsid w:val="00A14421"/>
    <w:rsid w:val="00A55860"/>
    <w:rsid w:val="00A930A1"/>
    <w:rsid w:val="00AB097E"/>
    <w:rsid w:val="00AE3A06"/>
    <w:rsid w:val="00AE661B"/>
    <w:rsid w:val="00B03483"/>
    <w:rsid w:val="00B21C2A"/>
    <w:rsid w:val="00B42903"/>
    <w:rsid w:val="00B714A3"/>
    <w:rsid w:val="00B8568E"/>
    <w:rsid w:val="00BA4278"/>
    <w:rsid w:val="00C358CE"/>
    <w:rsid w:val="00C4552F"/>
    <w:rsid w:val="00C65F2F"/>
    <w:rsid w:val="00CD1898"/>
    <w:rsid w:val="00D14A2C"/>
    <w:rsid w:val="00D52106"/>
    <w:rsid w:val="00D87DBA"/>
    <w:rsid w:val="00DB04DA"/>
    <w:rsid w:val="00DC2F35"/>
    <w:rsid w:val="00DD146C"/>
    <w:rsid w:val="00DD59D9"/>
    <w:rsid w:val="00E36BC3"/>
    <w:rsid w:val="00E4617D"/>
    <w:rsid w:val="00EC3257"/>
    <w:rsid w:val="00EE2CE5"/>
    <w:rsid w:val="00F376D9"/>
    <w:rsid w:val="00F53FBE"/>
    <w:rsid w:val="00F56F1C"/>
    <w:rsid w:val="00F66566"/>
    <w:rsid w:val="00F80D08"/>
    <w:rsid w:val="00F92D60"/>
    <w:rsid w:val="00FA0F28"/>
    <w:rsid w:val="00FC089F"/>
    <w:rsid w:val="00FC39CA"/>
    <w:rsid w:val="00FC3DBA"/>
    <w:rsid w:val="00FE1D95"/>
    <w:rsid w:val="00FF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9DF05"/>
  <w15:docId w15:val="{653C77FE-1A85-4B7A-886F-CBA00D6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1929" w:right="1897" w:firstLine="12"/>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76" w:right="169"/>
      <w:jc w:val="center"/>
    </w:pPr>
  </w:style>
  <w:style w:type="character" w:styleId="CommentReference">
    <w:name w:val="annotation reference"/>
    <w:basedOn w:val="DefaultParagraphFont"/>
    <w:uiPriority w:val="99"/>
    <w:semiHidden/>
    <w:unhideWhenUsed/>
    <w:rsid w:val="0062382E"/>
    <w:rPr>
      <w:sz w:val="16"/>
      <w:szCs w:val="16"/>
    </w:rPr>
  </w:style>
  <w:style w:type="paragraph" w:styleId="CommentText">
    <w:name w:val="annotation text"/>
    <w:basedOn w:val="Normal"/>
    <w:link w:val="CommentTextChar"/>
    <w:uiPriority w:val="99"/>
    <w:semiHidden/>
    <w:unhideWhenUsed/>
    <w:rsid w:val="0062382E"/>
    <w:rPr>
      <w:sz w:val="20"/>
      <w:szCs w:val="20"/>
    </w:rPr>
  </w:style>
  <w:style w:type="character" w:customStyle="1" w:styleId="CommentTextChar">
    <w:name w:val="Comment Text Char"/>
    <w:basedOn w:val="DefaultParagraphFont"/>
    <w:link w:val="CommentText"/>
    <w:uiPriority w:val="99"/>
    <w:semiHidden/>
    <w:rsid w:val="006238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382E"/>
    <w:rPr>
      <w:b/>
      <w:bCs/>
    </w:rPr>
  </w:style>
  <w:style w:type="character" w:customStyle="1" w:styleId="CommentSubjectChar">
    <w:name w:val="Comment Subject Char"/>
    <w:basedOn w:val="CommentTextChar"/>
    <w:link w:val="CommentSubject"/>
    <w:uiPriority w:val="99"/>
    <w:semiHidden/>
    <w:rsid w:val="006238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3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82E"/>
    <w:rPr>
      <w:rFonts w:ascii="Segoe UI" w:eastAsia="Times New Roman" w:hAnsi="Segoe UI" w:cs="Segoe UI"/>
      <w:sz w:val="18"/>
      <w:szCs w:val="18"/>
    </w:rPr>
  </w:style>
  <w:style w:type="paragraph" w:styleId="Header">
    <w:name w:val="header"/>
    <w:basedOn w:val="Normal"/>
    <w:link w:val="HeaderChar"/>
    <w:uiPriority w:val="99"/>
    <w:unhideWhenUsed/>
    <w:rsid w:val="006B29F4"/>
    <w:pPr>
      <w:tabs>
        <w:tab w:val="center" w:pos="4680"/>
        <w:tab w:val="right" w:pos="9360"/>
      </w:tabs>
    </w:pPr>
  </w:style>
  <w:style w:type="character" w:customStyle="1" w:styleId="HeaderChar">
    <w:name w:val="Header Char"/>
    <w:basedOn w:val="DefaultParagraphFont"/>
    <w:link w:val="Header"/>
    <w:uiPriority w:val="99"/>
    <w:rsid w:val="006B29F4"/>
    <w:rPr>
      <w:rFonts w:ascii="Times New Roman" w:eastAsia="Times New Roman" w:hAnsi="Times New Roman" w:cs="Times New Roman"/>
    </w:rPr>
  </w:style>
  <w:style w:type="paragraph" w:styleId="Footer">
    <w:name w:val="footer"/>
    <w:basedOn w:val="Normal"/>
    <w:link w:val="FooterChar"/>
    <w:uiPriority w:val="99"/>
    <w:unhideWhenUsed/>
    <w:rsid w:val="006B29F4"/>
    <w:pPr>
      <w:tabs>
        <w:tab w:val="center" w:pos="4680"/>
        <w:tab w:val="right" w:pos="9360"/>
      </w:tabs>
    </w:pPr>
  </w:style>
  <w:style w:type="character" w:customStyle="1" w:styleId="FooterChar">
    <w:name w:val="Footer Char"/>
    <w:basedOn w:val="DefaultParagraphFont"/>
    <w:link w:val="Footer"/>
    <w:uiPriority w:val="99"/>
    <w:rsid w:val="006B29F4"/>
    <w:rPr>
      <w:rFonts w:ascii="Times New Roman" w:eastAsia="Times New Roman" w:hAnsi="Times New Roman" w:cs="Times New Roman"/>
    </w:rPr>
  </w:style>
  <w:style w:type="character" w:styleId="Hyperlink">
    <w:name w:val="Hyperlink"/>
    <w:basedOn w:val="DefaultParagraphFont"/>
    <w:uiPriority w:val="99"/>
    <w:unhideWhenUsed/>
    <w:rsid w:val="00245552"/>
    <w:rPr>
      <w:color w:val="0000FF" w:themeColor="hyperlink"/>
      <w:u w:val="single"/>
    </w:rPr>
  </w:style>
  <w:style w:type="character" w:styleId="UnresolvedMention">
    <w:name w:val="Unresolved Mention"/>
    <w:basedOn w:val="DefaultParagraphFont"/>
    <w:uiPriority w:val="99"/>
    <w:semiHidden/>
    <w:unhideWhenUsed/>
    <w:rsid w:val="00245552"/>
    <w:rPr>
      <w:color w:val="605E5C"/>
      <w:shd w:val="clear" w:color="auto" w:fill="E1DFDD"/>
    </w:rPr>
  </w:style>
  <w:style w:type="paragraph" w:styleId="PlainText">
    <w:name w:val="Plain Text"/>
    <w:basedOn w:val="Normal"/>
    <w:link w:val="PlainTextChar"/>
    <w:semiHidden/>
    <w:rsid w:val="00256968"/>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semiHidden/>
    <w:rsid w:val="0025696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25F63"/>
    <w:rPr>
      <w:color w:val="800080" w:themeColor="followedHyperlink"/>
      <w:u w:val="single"/>
    </w:rPr>
  </w:style>
  <w:style w:type="paragraph" w:styleId="Revision">
    <w:name w:val="Revision"/>
    <w:hidden/>
    <w:uiPriority w:val="99"/>
    <w:semiHidden/>
    <w:rsid w:val="001D3E3E"/>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0042D5"/>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451391">
      <w:bodyDiv w:val="1"/>
      <w:marLeft w:val="0"/>
      <w:marRight w:val="0"/>
      <w:marTop w:val="0"/>
      <w:marBottom w:val="0"/>
      <w:divBdr>
        <w:top w:val="none" w:sz="0" w:space="0" w:color="auto"/>
        <w:left w:val="none" w:sz="0" w:space="0" w:color="auto"/>
        <w:bottom w:val="none" w:sz="0" w:space="0" w:color="auto"/>
        <w:right w:val="none" w:sz="0" w:space="0" w:color="auto"/>
      </w:divBdr>
    </w:div>
    <w:div w:id="1567641037">
      <w:bodyDiv w:val="1"/>
      <w:marLeft w:val="0"/>
      <w:marRight w:val="0"/>
      <w:marTop w:val="0"/>
      <w:marBottom w:val="0"/>
      <w:divBdr>
        <w:top w:val="none" w:sz="0" w:space="0" w:color="auto"/>
        <w:left w:val="none" w:sz="0" w:space="0" w:color="auto"/>
        <w:bottom w:val="none" w:sz="0" w:space="0" w:color="auto"/>
        <w:right w:val="none" w:sz="0" w:space="0" w:color="auto"/>
      </w:divBdr>
      <w:divsChild>
        <w:div w:id="1839885602">
          <w:marLeft w:val="240"/>
          <w:marRight w:val="0"/>
          <w:marTop w:val="60"/>
          <w:marBottom w:val="60"/>
          <w:divBdr>
            <w:top w:val="none" w:sz="0" w:space="0" w:color="auto"/>
            <w:left w:val="none" w:sz="0" w:space="0" w:color="auto"/>
            <w:bottom w:val="none" w:sz="0" w:space="0" w:color="auto"/>
            <w:right w:val="none" w:sz="0" w:space="0" w:color="auto"/>
          </w:divBdr>
          <w:divsChild>
            <w:div w:id="126944899">
              <w:marLeft w:val="240"/>
              <w:marRight w:val="0"/>
              <w:marTop w:val="60"/>
              <w:marBottom w:val="60"/>
              <w:divBdr>
                <w:top w:val="none" w:sz="0" w:space="0" w:color="auto"/>
                <w:left w:val="none" w:sz="0" w:space="0" w:color="auto"/>
                <w:bottom w:val="none" w:sz="0" w:space="0" w:color="auto"/>
                <w:right w:val="none" w:sz="0" w:space="0" w:color="auto"/>
              </w:divBdr>
              <w:divsChild>
                <w:div w:id="602617596">
                  <w:marLeft w:val="0"/>
                  <w:marRight w:val="0"/>
                  <w:marTop w:val="0"/>
                  <w:marBottom w:val="0"/>
                  <w:divBdr>
                    <w:top w:val="none" w:sz="0" w:space="0" w:color="auto"/>
                    <w:left w:val="none" w:sz="0" w:space="0" w:color="auto"/>
                    <w:bottom w:val="none" w:sz="0" w:space="0" w:color="auto"/>
                    <w:right w:val="none" w:sz="0" w:space="0" w:color="auto"/>
                  </w:divBdr>
                </w:div>
              </w:divsChild>
            </w:div>
            <w:div w:id="112948012">
              <w:marLeft w:val="240"/>
              <w:marRight w:val="0"/>
              <w:marTop w:val="60"/>
              <w:marBottom w:val="60"/>
              <w:divBdr>
                <w:top w:val="none" w:sz="0" w:space="0" w:color="auto"/>
                <w:left w:val="none" w:sz="0" w:space="0" w:color="auto"/>
                <w:bottom w:val="none" w:sz="0" w:space="0" w:color="auto"/>
                <w:right w:val="none" w:sz="0" w:space="0" w:color="auto"/>
              </w:divBdr>
              <w:divsChild>
                <w:div w:id="1350253262">
                  <w:marLeft w:val="0"/>
                  <w:marRight w:val="0"/>
                  <w:marTop w:val="0"/>
                  <w:marBottom w:val="0"/>
                  <w:divBdr>
                    <w:top w:val="none" w:sz="0" w:space="0" w:color="auto"/>
                    <w:left w:val="none" w:sz="0" w:space="0" w:color="auto"/>
                    <w:bottom w:val="none" w:sz="0" w:space="0" w:color="auto"/>
                    <w:right w:val="none" w:sz="0" w:space="0" w:color="auto"/>
                  </w:divBdr>
                </w:div>
              </w:divsChild>
            </w:div>
            <w:div w:id="227150913">
              <w:marLeft w:val="240"/>
              <w:marRight w:val="0"/>
              <w:marTop w:val="60"/>
              <w:marBottom w:val="60"/>
              <w:divBdr>
                <w:top w:val="none" w:sz="0" w:space="0" w:color="auto"/>
                <w:left w:val="none" w:sz="0" w:space="0" w:color="auto"/>
                <w:bottom w:val="none" w:sz="0" w:space="0" w:color="auto"/>
                <w:right w:val="none" w:sz="0" w:space="0" w:color="auto"/>
              </w:divBdr>
              <w:divsChild>
                <w:div w:id="413821226">
                  <w:marLeft w:val="0"/>
                  <w:marRight w:val="0"/>
                  <w:marTop w:val="0"/>
                  <w:marBottom w:val="0"/>
                  <w:divBdr>
                    <w:top w:val="none" w:sz="0" w:space="0" w:color="auto"/>
                    <w:left w:val="none" w:sz="0" w:space="0" w:color="auto"/>
                    <w:bottom w:val="none" w:sz="0" w:space="0" w:color="auto"/>
                    <w:right w:val="none" w:sz="0" w:space="0" w:color="auto"/>
                  </w:divBdr>
                </w:div>
              </w:divsChild>
            </w:div>
            <w:div w:id="1939168545">
              <w:marLeft w:val="240"/>
              <w:marRight w:val="0"/>
              <w:marTop w:val="60"/>
              <w:marBottom w:val="60"/>
              <w:divBdr>
                <w:top w:val="none" w:sz="0" w:space="0" w:color="auto"/>
                <w:left w:val="none" w:sz="0" w:space="0" w:color="auto"/>
                <w:bottom w:val="none" w:sz="0" w:space="0" w:color="auto"/>
                <w:right w:val="none" w:sz="0" w:space="0" w:color="auto"/>
              </w:divBdr>
              <w:divsChild>
                <w:div w:id="8780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3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020BB-055C-4832-BF63-254F93E0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dc:creator>
  <cp:lastModifiedBy>Johnson, Scott (FHWA)</cp:lastModifiedBy>
  <cp:revision>4</cp:revision>
  <cp:lastPrinted>2023-04-19T12:58:00Z</cp:lastPrinted>
  <dcterms:created xsi:type="dcterms:W3CDTF">2024-09-04T12:38:00Z</dcterms:created>
  <dcterms:modified xsi:type="dcterms:W3CDTF">2024-09-04T12:41:00Z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Acrobat PDFMaker 11 for Word</vt:lpwstr>
  </property>
  <property fmtid="{D5CDD505-2E9C-101B-9397-08002B2CF9AE}" pid="4" name="LastSaved">
    <vt:filetime>2021-11-18T00:00:00Z</vt:filetime>
  </property>
</Properties>
</file>